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FC747" w14:textId="0E9A4B6B" w:rsidR="00A025D4" w:rsidRPr="0000630D" w:rsidRDefault="00A025D4" w:rsidP="0000630D">
      <w:pPr>
        <w:spacing w:after="0" w:line="300" w:lineRule="auto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>УДК 5</w:t>
      </w:r>
      <w:r w:rsidR="00CB171F" w:rsidRPr="0000630D">
        <w:rPr>
          <w:rFonts w:ascii="Times New Roman" w:hAnsi="Times New Roman" w:cs="Times New Roman"/>
          <w:sz w:val="22"/>
          <w:szCs w:val="22"/>
        </w:rPr>
        <w:t>3</w:t>
      </w:r>
      <w:r w:rsidRPr="0000630D">
        <w:rPr>
          <w:rFonts w:ascii="Times New Roman" w:hAnsi="Times New Roman" w:cs="Times New Roman"/>
          <w:sz w:val="22"/>
          <w:szCs w:val="22"/>
        </w:rPr>
        <w:t>9.</w:t>
      </w:r>
      <w:r w:rsidR="00CB171F" w:rsidRPr="0000630D">
        <w:rPr>
          <w:rFonts w:ascii="Times New Roman" w:hAnsi="Times New Roman" w:cs="Times New Roman"/>
          <w:sz w:val="22"/>
          <w:szCs w:val="22"/>
        </w:rPr>
        <w:t>14</w:t>
      </w:r>
    </w:p>
    <w:p w14:paraId="3E5897E8" w14:textId="77777777" w:rsidR="00A025D4" w:rsidRPr="0000630D" w:rsidRDefault="00A025D4" w:rsidP="0000630D">
      <w:pPr>
        <w:spacing w:after="0" w:line="30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67C89FDE" w14:textId="54CE2F96" w:rsidR="00B261BA" w:rsidRPr="0000630D" w:rsidRDefault="00A20749" w:rsidP="0000630D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Исследование мультинейтронных систем методом SS-HORSE–NCSM</w:t>
      </w:r>
    </w:p>
    <w:p w14:paraId="7EF3285D" w14:textId="77777777" w:rsidR="00A025D4" w:rsidRPr="0000630D" w:rsidRDefault="00A025D4" w:rsidP="0000630D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14:paraId="74ED50FD" w14:textId="1E28554B" w:rsidR="00223F7D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0630D"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t>А.И. М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u w:val="single"/>
        </w:rPr>
        <w:t>азур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, </w:t>
      </w:r>
      <w:r w:rsidR="00427CB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М.К. Е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фименко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427CB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, 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И.А. М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азур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, </w:t>
      </w:r>
    </w:p>
    <w:p w14:paraId="65F5BF8C" w14:textId="331ABD6E" w:rsidR="00CB171F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А.М. Ш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ироков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,</w:t>
      </w:r>
      <w:r w:rsidR="00427CB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В.А. К</w:t>
      </w:r>
      <w:r w:rsidR="00A20749" w:rsidRPr="0000630D">
        <w:rPr>
          <w:rFonts w:ascii="Times New Roman" w:hAnsi="Times New Roman" w:cs="Times New Roman"/>
          <w:b/>
          <w:bCs/>
          <w:sz w:val="22"/>
          <w:szCs w:val="22"/>
        </w:rPr>
        <w:t>ули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ков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  <w:r w:rsidR="00427CB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,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И.Д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ж</w:t>
      </w:r>
      <w:proofErr w:type="spellEnd"/>
      <w:r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. Ш</w:t>
      </w:r>
      <w:r w:rsidR="00427CB9" w:rsidRPr="0000630D">
        <w:rPr>
          <w:rFonts w:ascii="Times New Roman" w:hAnsi="Times New Roman" w:cs="Times New Roman"/>
          <w:b/>
          <w:bCs/>
          <w:sz w:val="22"/>
          <w:szCs w:val="22"/>
        </w:rPr>
        <w:t>ин</w:t>
      </w:r>
      <w:r w:rsidRPr="0000630D">
        <w:rPr>
          <w:rFonts w:ascii="Times New Roman" w:hAnsi="Times New Roman" w:cs="Times New Roman"/>
          <w:b/>
          <w:bCs/>
          <w:caps/>
          <w:sz w:val="22"/>
          <w:szCs w:val="22"/>
          <w:vertAlign w:val="superscript"/>
        </w:rPr>
        <w:t>4</w:t>
      </w:r>
      <w:r w:rsidR="00A2074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, </w:t>
      </w:r>
      <w:proofErr w:type="spellStart"/>
      <w:r w:rsidR="00A2074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Д</w:t>
      </w:r>
      <w:r w:rsidR="00A20749" w:rsidRPr="0000630D">
        <w:rPr>
          <w:rFonts w:ascii="Times New Roman" w:hAnsi="Times New Roman" w:cs="Times New Roman"/>
          <w:b/>
          <w:bCs/>
          <w:sz w:val="22"/>
          <w:szCs w:val="22"/>
        </w:rPr>
        <w:t>ж</w:t>
      </w:r>
      <w:r w:rsidR="00A2074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.П</w:t>
      </w:r>
      <w:proofErr w:type="spellEnd"/>
      <w:r w:rsidR="00A20749" w:rsidRPr="0000630D">
        <w:rPr>
          <w:rFonts w:ascii="Times New Roman" w:hAnsi="Times New Roman" w:cs="Times New Roman"/>
          <w:b/>
          <w:bCs/>
          <w:caps/>
          <w:sz w:val="22"/>
          <w:szCs w:val="22"/>
        </w:rPr>
        <w:t>. В</w:t>
      </w:r>
      <w:r w:rsidR="00A20749" w:rsidRPr="0000630D">
        <w:rPr>
          <w:rFonts w:ascii="Times New Roman" w:hAnsi="Times New Roman" w:cs="Times New Roman"/>
          <w:b/>
          <w:bCs/>
          <w:sz w:val="22"/>
          <w:szCs w:val="22"/>
        </w:rPr>
        <w:t>эри</w:t>
      </w:r>
      <w:r w:rsidR="00A20749" w:rsidRPr="0000630D">
        <w:rPr>
          <w:rFonts w:ascii="Times New Roman" w:hAnsi="Times New Roman" w:cs="Times New Roman"/>
          <w:b/>
          <w:bCs/>
          <w:caps/>
          <w:sz w:val="22"/>
          <w:szCs w:val="22"/>
          <w:vertAlign w:val="superscript"/>
        </w:rPr>
        <w:t>5</w:t>
      </w:r>
    </w:p>
    <w:p w14:paraId="1FC23D8C" w14:textId="7ACDCFC6" w:rsidR="00CB171F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>Тихоокеанский государственный университет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00630D">
        <w:rPr>
          <w:rFonts w:ascii="Times New Roman" w:hAnsi="Times New Roman" w:cs="Times New Roman"/>
          <w:i/>
          <w:iCs/>
          <w:sz w:val="20"/>
          <w:szCs w:val="20"/>
        </w:rPr>
        <w:t>г.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Хабаровск</w:t>
      </w:r>
      <w:r w:rsidR="000063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9BFEC9D" w14:textId="6445216C" w:rsidR="00CB171F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 for Exotic Nuclear Studies, Institute for Basic Science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Daejeon</w:t>
      </w:r>
      <w:proofErr w:type="gramEnd"/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, Republic of Korea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52E52B2F" w14:textId="169FA6A8" w:rsidR="00CB171F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Научно-исследовательский институт имени Д. В.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Скобельцына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Московского государственного университета имени М. В. Ломоносова</w:t>
      </w:r>
      <w:r w:rsidR="0000630D">
        <w:rPr>
          <w:rFonts w:ascii="Times New Roman" w:hAnsi="Times New Roman" w:cs="Times New Roman"/>
          <w:i/>
          <w:iCs/>
          <w:sz w:val="20"/>
          <w:szCs w:val="20"/>
        </w:rPr>
        <w:t xml:space="preserve"> (г.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Москва</w:t>
      </w:r>
      <w:r w:rsidR="000063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CB6967F" w14:textId="5105F787" w:rsidR="00CB171F" w:rsidRPr="0000630D" w:rsidRDefault="00CB171F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4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Insitute for Rare Isotope Science, Institute for Basic Science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Daejeon, Republic of Korea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7FCC183F" w14:textId="12389216" w:rsidR="00A20749" w:rsidRPr="0000630D" w:rsidRDefault="00A20749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5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of Physics and Astronomy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Iowa State University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r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Ames, USA</w:t>
      </w:r>
      <w:r w:rsidR="0000630D" w:rsidRPr="0000630D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170EA727" w14:textId="01E915CB" w:rsidR="00A025D4" w:rsidRPr="0000630D" w:rsidRDefault="00A025D4" w:rsidP="0000630D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</w:p>
    <w:p w14:paraId="6A2E0610" w14:textId="60499195" w:rsidR="001466FD" w:rsidRPr="0000630D" w:rsidRDefault="001466FD" w:rsidP="0000630D">
      <w:pPr>
        <w:spacing w:after="0" w:line="30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0630D">
        <w:rPr>
          <w:rFonts w:ascii="Times New Roman" w:hAnsi="Times New Roman" w:cs="Times New Roman"/>
          <w:i/>
          <w:iCs/>
          <w:sz w:val="20"/>
          <w:szCs w:val="20"/>
        </w:rPr>
        <w:t>Метод описания состояний непрерывного спектра SS-HORSE–NCSM обобщен на случай демократического распада на нечетное число тел в отсутствие отталкивающего кулоновского взаимодействия и применен для поиска резонансных состояний в системе трех нейтронов (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тринейтрон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) на основе расчетов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ab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initio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в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No-Core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Shell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0630D">
        <w:rPr>
          <w:rFonts w:ascii="Times New Roman" w:hAnsi="Times New Roman" w:cs="Times New Roman"/>
          <w:i/>
          <w:iCs/>
          <w:sz w:val="20"/>
          <w:szCs w:val="20"/>
        </w:rPr>
        <w:t>Model</w:t>
      </w:r>
      <w:proofErr w:type="spellEnd"/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с реалистическими NN-потенциалами. Предсказаны два перекрывающихся резонанса со спин-четностью 3/2</w:t>
      </w: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−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 xml:space="preserve"> и 1/2</w:t>
      </w:r>
      <w:r w:rsidRPr="0000630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−</w:t>
      </w:r>
      <w:r w:rsidRPr="0000630D">
        <w:rPr>
          <w:rFonts w:ascii="Times New Roman" w:hAnsi="Times New Roman" w:cs="Times New Roman"/>
          <w:i/>
          <w:iCs/>
          <w:sz w:val="20"/>
          <w:szCs w:val="20"/>
        </w:rPr>
        <w:t>. Резонансы проявляются только в расчетах с “мягкими” взаимодействиями, в случае “жестких” взаимодействий низколежащих относительно узких резонансов обнаружено не было.</w:t>
      </w:r>
    </w:p>
    <w:p w14:paraId="5FEC18C3" w14:textId="54532D45" w:rsidR="001466FD" w:rsidRPr="0000630D" w:rsidRDefault="001466FD" w:rsidP="0000630D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18202E78" w14:textId="1A87E89B" w:rsidR="002668BB" w:rsidRPr="0000630D" w:rsidRDefault="002668BB" w:rsidP="0000630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Интерес к теоретическим и экспериментальным исследованиям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мультинейтронных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систем резко возрос после экспериментального наблюдения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резонанса. Актуальность исследований обусловлена тем, что изучение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мультинейтронных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систем позволит уточнить природу взаимодействия между нейтронами, так как прямые эксперименты по нейтрон-нейтронному рассеянию невозможны. </w:t>
      </w:r>
    </w:p>
    <w:p w14:paraId="1CB609C9" w14:textId="515492CF" w:rsidR="002668BB" w:rsidRPr="0000630D" w:rsidRDefault="002668BB" w:rsidP="0000630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Мы исследуем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мультинейтронные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системы в развитом нами подходе SS-HORSE–NCSM </w:t>
      </w:r>
      <w:r w:rsidR="00A6234E" w:rsidRPr="0000630D">
        <w:rPr>
          <w:rFonts w:ascii="Times New Roman" w:hAnsi="Times New Roman" w:cs="Times New Roman"/>
          <w:sz w:val="22"/>
          <w:szCs w:val="22"/>
        </w:rPr>
        <w:t>(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Single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State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Harmonic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Oscillator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Representation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Scattering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6234E" w:rsidRPr="0000630D">
        <w:rPr>
          <w:rFonts w:ascii="Times New Roman" w:hAnsi="Times New Roman" w:cs="Times New Roman"/>
          <w:sz w:val="22"/>
          <w:szCs w:val="22"/>
          <w:lang w:val="en-US"/>
        </w:rPr>
        <w:t>Equations</w:t>
      </w:r>
      <w:r w:rsidR="00A6234E" w:rsidRPr="0000630D">
        <w:rPr>
          <w:rFonts w:ascii="Times New Roman" w:hAnsi="Times New Roman" w:cs="Times New Roman"/>
          <w:sz w:val="22"/>
          <w:szCs w:val="22"/>
        </w:rPr>
        <w:t xml:space="preserve">) </w:t>
      </w:r>
      <w:r w:rsidRPr="0000630D">
        <w:rPr>
          <w:rFonts w:ascii="Times New Roman" w:hAnsi="Times New Roman" w:cs="Times New Roman"/>
          <w:sz w:val="22"/>
          <w:szCs w:val="22"/>
        </w:rPr>
        <w:t>[</w:t>
      </w:r>
      <w:r w:rsidR="00AE77E2" w:rsidRPr="0000630D">
        <w:rPr>
          <w:rFonts w:ascii="Times New Roman" w:hAnsi="Times New Roman" w:cs="Times New Roman"/>
          <w:sz w:val="22"/>
          <w:szCs w:val="22"/>
        </w:rPr>
        <w:t>1</w:t>
      </w:r>
      <w:r w:rsidR="0000630D">
        <w:rPr>
          <w:rFonts w:ascii="Times New Roman" w:hAnsi="Times New Roman" w:cs="Times New Roman"/>
          <w:sz w:val="22"/>
          <w:szCs w:val="22"/>
        </w:rPr>
        <w:t xml:space="preserve"> </w:t>
      </w:r>
      <w:r w:rsidRPr="0000630D">
        <w:rPr>
          <w:rFonts w:ascii="Times New Roman" w:hAnsi="Times New Roman" w:cs="Times New Roman"/>
          <w:sz w:val="22"/>
          <w:szCs w:val="22"/>
        </w:rPr>
        <w:t>–</w:t>
      </w:r>
      <w:r w:rsid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E77E2" w:rsidRPr="0000630D">
        <w:rPr>
          <w:rFonts w:ascii="Times New Roman" w:hAnsi="Times New Roman" w:cs="Times New Roman"/>
          <w:sz w:val="22"/>
          <w:szCs w:val="22"/>
        </w:rPr>
        <w:t>7</w:t>
      </w:r>
      <w:r w:rsidRPr="0000630D">
        <w:rPr>
          <w:rFonts w:ascii="Times New Roman" w:hAnsi="Times New Roman" w:cs="Times New Roman"/>
          <w:sz w:val="22"/>
          <w:szCs w:val="22"/>
        </w:rPr>
        <w:t xml:space="preserve">], в котором описание состояний непрерывного спектра проводится на основе расчетов в 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ядерной </w:t>
      </w:r>
      <w:r w:rsidRPr="0000630D">
        <w:rPr>
          <w:rFonts w:ascii="Times New Roman" w:hAnsi="Times New Roman" w:cs="Times New Roman"/>
          <w:sz w:val="22"/>
          <w:szCs w:val="22"/>
        </w:rPr>
        <w:t xml:space="preserve">модели </w:t>
      </w:r>
      <w:r w:rsidR="00AD18D5" w:rsidRPr="0000630D">
        <w:rPr>
          <w:rFonts w:ascii="Times New Roman" w:hAnsi="Times New Roman" w:cs="Times New Roman"/>
          <w:sz w:val="22"/>
          <w:szCs w:val="22"/>
        </w:rPr>
        <w:t>оболочек без инертного кора (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="00AD18D5" w:rsidRPr="0000630D">
        <w:rPr>
          <w:rFonts w:ascii="Times New Roman" w:hAnsi="Times New Roman" w:cs="Times New Roman"/>
          <w:sz w:val="22"/>
          <w:szCs w:val="22"/>
        </w:rPr>
        <w:t>-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Shell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Model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NCSM</w:t>
      </w:r>
      <w:r w:rsidR="00AD18D5" w:rsidRPr="0000630D">
        <w:rPr>
          <w:rFonts w:ascii="Times New Roman" w:hAnsi="Times New Roman" w:cs="Times New Roman"/>
          <w:sz w:val="22"/>
          <w:szCs w:val="22"/>
        </w:rPr>
        <w:t>) [</w:t>
      </w:r>
      <w:r w:rsidR="00AE77E2" w:rsidRPr="0000630D">
        <w:rPr>
          <w:rFonts w:ascii="Times New Roman" w:hAnsi="Times New Roman" w:cs="Times New Roman"/>
          <w:sz w:val="22"/>
          <w:szCs w:val="22"/>
        </w:rPr>
        <w:t>8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]. Все расчеты в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NCSM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 проводятся без каких-либо модельных приближений с использованием реалистических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NN</w:t>
      </w:r>
      <w:r w:rsidR="00AD18D5" w:rsidRPr="0000630D">
        <w:rPr>
          <w:rFonts w:ascii="Times New Roman" w:hAnsi="Times New Roman" w:cs="Times New Roman"/>
          <w:sz w:val="22"/>
          <w:szCs w:val="22"/>
        </w:rPr>
        <w:t>-взаимодействий.</w:t>
      </w:r>
      <w:r w:rsidRPr="0000630D">
        <w:rPr>
          <w:rFonts w:ascii="Times New Roman" w:hAnsi="Times New Roman" w:cs="Times New Roman"/>
          <w:sz w:val="22"/>
          <w:szCs w:val="22"/>
        </w:rPr>
        <w:t xml:space="preserve"> Преимущество SS-HORSE–NCSM по сравнению с другими подходами, обобщающими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NCSM</w:t>
      </w:r>
      <w:r w:rsidRPr="0000630D">
        <w:rPr>
          <w:rFonts w:ascii="Times New Roman" w:hAnsi="Times New Roman" w:cs="Times New Roman"/>
          <w:sz w:val="22"/>
          <w:szCs w:val="22"/>
        </w:rPr>
        <w:t xml:space="preserve"> на задачи непрерывного спектра, заключается в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 том, что для расчета характеристик рассеяния и резонансных параметров достаточно знать только собственные энергии матрицы гамильтониана, то есть </w:t>
      </w:r>
      <w:r w:rsidRPr="0000630D">
        <w:rPr>
          <w:rFonts w:ascii="Times New Roman" w:hAnsi="Times New Roman" w:cs="Times New Roman"/>
          <w:sz w:val="22"/>
          <w:szCs w:val="22"/>
        </w:rPr>
        <w:t>отсутств</w:t>
      </w:r>
      <w:r w:rsidR="00AD18D5" w:rsidRPr="0000630D">
        <w:rPr>
          <w:rFonts w:ascii="Times New Roman" w:hAnsi="Times New Roman" w:cs="Times New Roman"/>
          <w:sz w:val="22"/>
          <w:szCs w:val="22"/>
        </w:rPr>
        <w:t>ует</w:t>
      </w:r>
      <w:r w:rsidRPr="0000630D">
        <w:rPr>
          <w:rFonts w:ascii="Times New Roman" w:hAnsi="Times New Roman" w:cs="Times New Roman"/>
          <w:sz w:val="22"/>
          <w:szCs w:val="22"/>
        </w:rPr>
        <w:t xml:space="preserve"> необходимост</w:t>
      </w:r>
      <w:r w:rsidR="00AD18D5" w:rsidRPr="0000630D">
        <w:rPr>
          <w:rFonts w:ascii="Times New Roman" w:hAnsi="Times New Roman" w:cs="Times New Roman"/>
          <w:sz w:val="22"/>
          <w:szCs w:val="22"/>
        </w:rPr>
        <w:t>ь</w:t>
      </w:r>
      <w:r w:rsidRPr="0000630D">
        <w:rPr>
          <w:rFonts w:ascii="Times New Roman" w:hAnsi="Times New Roman" w:cs="Times New Roman"/>
          <w:sz w:val="22"/>
          <w:szCs w:val="22"/>
        </w:rPr>
        <w:t xml:space="preserve"> дополнительных сложных вычислений. </w:t>
      </w:r>
      <w:r w:rsidR="00AD18D5" w:rsidRPr="0000630D">
        <w:rPr>
          <w:rFonts w:ascii="Times New Roman" w:hAnsi="Times New Roman" w:cs="Times New Roman"/>
          <w:sz w:val="22"/>
          <w:szCs w:val="22"/>
        </w:rPr>
        <w:t>М</w:t>
      </w:r>
      <w:r w:rsidRPr="0000630D">
        <w:rPr>
          <w:rFonts w:ascii="Times New Roman" w:hAnsi="Times New Roman" w:cs="Times New Roman"/>
          <w:sz w:val="22"/>
          <w:szCs w:val="22"/>
        </w:rPr>
        <w:t xml:space="preserve">етод был успешно применен для описания резонансных состояний ядер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00630D">
        <w:rPr>
          <w:rFonts w:ascii="Times New Roman" w:hAnsi="Times New Roman" w:cs="Times New Roman"/>
          <w:sz w:val="22"/>
          <w:szCs w:val="22"/>
        </w:rPr>
        <w:t>He [</w:t>
      </w:r>
      <w:r w:rsidR="00AE77E2" w:rsidRPr="0000630D">
        <w:rPr>
          <w:rFonts w:ascii="Times New Roman" w:hAnsi="Times New Roman" w:cs="Times New Roman"/>
          <w:sz w:val="22"/>
          <w:szCs w:val="22"/>
        </w:rPr>
        <w:t>1</w:t>
      </w:r>
      <w:r w:rsidRPr="0000630D">
        <w:rPr>
          <w:rFonts w:ascii="Times New Roman" w:hAnsi="Times New Roman" w:cs="Times New Roman"/>
          <w:sz w:val="22"/>
          <w:szCs w:val="22"/>
        </w:rPr>
        <w:t xml:space="preserve">],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00630D">
        <w:rPr>
          <w:rFonts w:ascii="Times New Roman" w:hAnsi="Times New Roman" w:cs="Times New Roman"/>
          <w:sz w:val="22"/>
          <w:szCs w:val="22"/>
        </w:rPr>
        <w:t>Li [</w:t>
      </w:r>
      <w:r w:rsidR="00AE77E2" w:rsidRPr="0000630D">
        <w:rPr>
          <w:rFonts w:ascii="Times New Roman" w:hAnsi="Times New Roman" w:cs="Times New Roman"/>
          <w:sz w:val="22"/>
          <w:szCs w:val="22"/>
        </w:rPr>
        <w:t>5</w:t>
      </w:r>
      <w:r w:rsidRPr="0000630D">
        <w:rPr>
          <w:rFonts w:ascii="Times New Roman" w:hAnsi="Times New Roman" w:cs="Times New Roman"/>
          <w:sz w:val="22"/>
          <w:szCs w:val="22"/>
        </w:rPr>
        <w:t xml:space="preserve">],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00630D">
        <w:rPr>
          <w:rFonts w:ascii="Times New Roman" w:hAnsi="Times New Roman" w:cs="Times New Roman"/>
          <w:sz w:val="22"/>
          <w:szCs w:val="22"/>
        </w:rPr>
        <w:t>He [</w:t>
      </w:r>
      <w:r w:rsidR="00AE77E2" w:rsidRPr="0000630D">
        <w:rPr>
          <w:rFonts w:ascii="Times New Roman" w:hAnsi="Times New Roman" w:cs="Times New Roman"/>
          <w:sz w:val="22"/>
          <w:szCs w:val="22"/>
        </w:rPr>
        <w:t>6</w:t>
      </w:r>
      <w:r w:rsidRPr="0000630D">
        <w:rPr>
          <w:rFonts w:ascii="Times New Roman" w:hAnsi="Times New Roman" w:cs="Times New Roman"/>
          <w:sz w:val="22"/>
          <w:szCs w:val="22"/>
        </w:rPr>
        <w:t xml:space="preserve">] и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00630D">
        <w:rPr>
          <w:rFonts w:ascii="Times New Roman" w:hAnsi="Times New Roman" w:cs="Times New Roman"/>
          <w:sz w:val="22"/>
          <w:szCs w:val="22"/>
        </w:rPr>
        <w:t>Li [</w:t>
      </w:r>
      <w:r w:rsidR="00AE77E2" w:rsidRPr="0000630D">
        <w:rPr>
          <w:rFonts w:ascii="Times New Roman" w:hAnsi="Times New Roman" w:cs="Times New Roman"/>
          <w:sz w:val="22"/>
          <w:szCs w:val="22"/>
        </w:rPr>
        <w:t>7</w:t>
      </w:r>
      <w:r w:rsidRPr="0000630D">
        <w:rPr>
          <w:rFonts w:ascii="Times New Roman" w:hAnsi="Times New Roman" w:cs="Times New Roman"/>
          <w:sz w:val="22"/>
          <w:szCs w:val="22"/>
        </w:rPr>
        <w:t>], проявляющихся в реакциях рассеяния нуклонов на легких ядрах, на основе расчетов в</w:t>
      </w:r>
      <w:r w:rsidR="00AD18D5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AD18D5" w:rsidRPr="0000630D">
        <w:rPr>
          <w:rFonts w:ascii="Times New Roman" w:hAnsi="Times New Roman" w:cs="Times New Roman"/>
          <w:sz w:val="22"/>
          <w:szCs w:val="22"/>
          <w:lang w:val="en-US"/>
        </w:rPr>
        <w:t>NCSM</w:t>
      </w:r>
      <w:r w:rsidRPr="0000630D">
        <w:rPr>
          <w:rFonts w:ascii="Times New Roman" w:hAnsi="Times New Roman" w:cs="Times New Roman"/>
          <w:sz w:val="22"/>
          <w:szCs w:val="22"/>
        </w:rPr>
        <w:t xml:space="preserve"> с реалистическими моделями NN-взаимодействия JISP16 [</w:t>
      </w:r>
      <w:r w:rsidR="00930E3C" w:rsidRPr="0000630D">
        <w:rPr>
          <w:rFonts w:ascii="Times New Roman" w:hAnsi="Times New Roman" w:cs="Times New Roman"/>
          <w:sz w:val="22"/>
          <w:szCs w:val="22"/>
        </w:rPr>
        <w:t>9</w:t>
      </w:r>
      <w:r w:rsidRPr="0000630D">
        <w:rPr>
          <w:rFonts w:ascii="Times New Roman" w:hAnsi="Times New Roman" w:cs="Times New Roman"/>
          <w:sz w:val="22"/>
          <w:szCs w:val="22"/>
        </w:rPr>
        <w:t>] и Daejeon16 [1</w:t>
      </w:r>
      <w:r w:rsidR="00930E3C" w:rsidRPr="0000630D">
        <w:rPr>
          <w:rFonts w:ascii="Times New Roman" w:hAnsi="Times New Roman" w:cs="Times New Roman"/>
          <w:sz w:val="22"/>
          <w:szCs w:val="22"/>
        </w:rPr>
        <w:t>0</w:t>
      </w:r>
      <w:r w:rsidRPr="0000630D">
        <w:rPr>
          <w:rFonts w:ascii="Times New Roman" w:hAnsi="Times New Roman" w:cs="Times New Roman"/>
          <w:sz w:val="22"/>
          <w:szCs w:val="22"/>
        </w:rPr>
        <w:t>].</w:t>
      </w:r>
    </w:p>
    <w:p w14:paraId="20C51451" w14:textId="77777777" w:rsidR="00223F7D" w:rsidRPr="0000630D" w:rsidRDefault="00A6234E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>В работе [</w:t>
      </w:r>
      <w:r w:rsidR="00141550" w:rsidRPr="0000630D">
        <w:rPr>
          <w:rFonts w:ascii="Times New Roman" w:hAnsi="Times New Roman" w:cs="Times New Roman"/>
          <w:sz w:val="22"/>
          <w:szCs w:val="22"/>
        </w:rPr>
        <w:t>1</w:t>
      </w:r>
      <w:r w:rsidR="00930E3C" w:rsidRPr="0000630D">
        <w:rPr>
          <w:rFonts w:ascii="Times New Roman" w:hAnsi="Times New Roman" w:cs="Times New Roman"/>
          <w:sz w:val="22"/>
          <w:szCs w:val="22"/>
        </w:rPr>
        <w:t>1</w:t>
      </w:r>
      <w:r w:rsidRPr="0000630D">
        <w:rPr>
          <w:rFonts w:ascii="Times New Roman" w:hAnsi="Times New Roman" w:cs="Times New Roman"/>
          <w:sz w:val="22"/>
          <w:szCs w:val="22"/>
        </w:rPr>
        <w:t>]</w:t>
      </w:r>
      <w:r w:rsidR="007D3CA2"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054879" w:rsidRPr="0000630D">
        <w:rPr>
          <w:rFonts w:ascii="Times New Roman" w:hAnsi="Times New Roman" w:cs="Times New Roman"/>
          <w:sz w:val="22"/>
          <w:szCs w:val="22"/>
        </w:rPr>
        <w:t xml:space="preserve">мы обобщили </w:t>
      </w:r>
      <w:r w:rsidR="007D3CA2" w:rsidRPr="0000630D">
        <w:rPr>
          <w:rFonts w:ascii="Times New Roman" w:hAnsi="Times New Roman" w:cs="Times New Roman"/>
          <w:sz w:val="22"/>
          <w:szCs w:val="22"/>
        </w:rPr>
        <w:t>метод</w:t>
      </w:r>
      <w:r w:rsidRPr="0000630D">
        <w:rPr>
          <w:rFonts w:ascii="Times New Roman" w:hAnsi="Times New Roman" w:cs="Times New Roman"/>
          <w:sz w:val="22"/>
          <w:szCs w:val="22"/>
        </w:rPr>
        <w:t xml:space="preserve"> SS-HORSE–NCSM на задачи истинно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многочастичного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рассеяния с четным числом частиц и для исследования демократического распада по каналам с четным числом фрагментов и примен</w:t>
      </w:r>
      <w:r w:rsidR="00141550" w:rsidRPr="0000630D">
        <w:rPr>
          <w:rFonts w:ascii="Times New Roman" w:hAnsi="Times New Roman" w:cs="Times New Roman"/>
          <w:sz w:val="22"/>
          <w:szCs w:val="22"/>
        </w:rPr>
        <w:t>или его</w:t>
      </w:r>
      <w:r w:rsidRPr="0000630D">
        <w:rPr>
          <w:rFonts w:ascii="Times New Roman" w:hAnsi="Times New Roman" w:cs="Times New Roman"/>
          <w:sz w:val="22"/>
          <w:szCs w:val="22"/>
        </w:rPr>
        <w:t xml:space="preserve"> для поиска резонанса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тетранейтроне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[</w:t>
      </w:r>
      <w:r w:rsidR="00141550" w:rsidRPr="0000630D">
        <w:rPr>
          <w:rFonts w:ascii="Times New Roman" w:hAnsi="Times New Roman" w:cs="Times New Roman"/>
          <w:sz w:val="22"/>
          <w:szCs w:val="22"/>
        </w:rPr>
        <w:t>1</w:t>
      </w:r>
      <w:r w:rsidR="00930E3C" w:rsidRPr="0000630D">
        <w:rPr>
          <w:rFonts w:ascii="Times New Roman" w:hAnsi="Times New Roman" w:cs="Times New Roman"/>
          <w:sz w:val="22"/>
          <w:szCs w:val="22"/>
        </w:rPr>
        <w:t>1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141550" w:rsidRPr="0000630D">
        <w:rPr>
          <w:rFonts w:ascii="Times New Roman" w:hAnsi="Times New Roman" w:cs="Times New Roman"/>
          <w:sz w:val="22"/>
          <w:szCs w:val="22"/>
        </w:rPr>
        <w:t>1</w:t>
      </w:r>
      <w:r w:rsidR="00930E3C" w:rsidRPr="0000630D">
        <w:rPr>
          <w:rFonts w:ascii="Times New Roman" w:hAnsi="Times New Roman" w:cs="Times New Roman"/>
          <w:sz w:val="22"/>
          <w:szCs w:val="22"/>
        </w:rPr>
        <w:t>2</w:t>
      </w:r>
      <w:r w:rsidRPr="0000630D">
        <w:rPr>
          <w:rFonts w:ascii="Times New Roman" w:hAnsi="Times New Roman" w:cs="Times New Roman"/>
          <w:sz w:val="22"/>
          <w:szCs w:val="22"/>
        </w:rPr>
        <w:t>].</w:t>
      </w:r>
      <w:r w:rsidR="00054879" w:rsidRPr="0000630D">
        <w:rPr>
          <w:rFonts w:ascii="Times New Roman" w:hAnsi="Times New Roman" w:cs="Times New Roman"/>
          <w:sz w:val="22"/>
          <w:szCs w:val="22"/>
        </w:rPr>
        <w:t xml:space="preserve"> Под истинно </w:t>
      </w:r>
      <w:proofErr w:type="spellStart"/>
      <w:r w:rsidR="00054879" w:rsidRPr="0000630D">
        <w:rPr>
          <w:rFonts w:ascii="Times New Roman" w:hAnsi="Times New Roman" w:cs="Times New Roman"/>
          <w:sz w:val="22"/>
          <w:szCs w:val="22"/>
        </w:rPr>
        <w:t>многочастичным</w:t>
      </w:r>
      <w:proofErr w:type="spellEnd"/>
      <w:r w:rsidR="00054879" w:rsidRPr="0000630D">
        <w:rPr>
          <w:rFonts w:ascii="Times New Roman" w:hAnsi="Times New Roman" w:cs="Times New Roman"/>
          <w:sz w:val="22"/>
          <w:szCs w:val="22"/>
        </w:rPr>
        <w:t xml:space="preserve"> рассеянием и демократическим распадом на несколько фрагментов мы понимаем такие процессы, в которых ни одна из пар фрагментов не образует связанных состояний. Возможность существования резонанса </w:t>
      </w:r>
      <w:proofErr w:type="spellStart"/>
      <w:r w:rsidR="00054879" w:rsidRPr="0000630D">
        <w:rPr>
          <w:rFonts w:ascii="Times New Roman" w:hAnsi="Times New Roman" w:cs="Times New Roman"/>
          <w:sz w:val="22"/>
          <w:szCs w:val="22"/>
        </w:rPr>
        <w:t>тетранейтрона</w:t>
      </w:r>
      <w:proofErr w:type="spellEnd"/>
      <w:r w:rsidR="00054879" w:rsidRPr="0000630D">
        <w:rPr>
          <w:rFonts w:ascii="Times New Roman" w:hAnsi="Times New Roman" w:cs="Times New Roman"/>
          <w:sz w:val="22"/>
          <w:szCs w:val="22"/>
        </w:rPr>
        <w:t xml:space="preserve"> была экспериментально подтверждена в работ</w:t>
      </w:r>
      <w:r w:rsidR="00930E3C" w:rsidRPr="0000630D">
        <w:rPr>
          <w:rFonts w:ascii="Times New Roman" w:hAnsi="Times New Roman" w:cs="Times New Roman"/>
          <w:sz w:val="22"/>
          <w:szCs w:val="22"/>
        </w:rPr>
        <w:t>е</w:t>
      </w:r>
      <w:r w:rsidR="00054879" w:rsidRPr="0000630D">
        <w:rPr>
          <w:rFonts w:ascii="Times New Roman" w:hAnsi="Times New Roman" w:cs="Times New Roman"/>
          <w:sz w:val="22"/>
          <w:szCs w:val="22"/>
        </w:rPr>
        <w:t xml:space="preserve"> [</w:t>
      </w:r>
      <w:r w:rsidR="00930E3C" w:rsidRPr="0000630D">
        <w:rPr>
          <w:rFonts w:ascii="Times New Roman" w:hAnsi="Times New Roman" w:cs="Times New Roman"/>
          <w:sz w:val="22"/>
          <w:szCs w:val="22"/>
        </w:rPr>
        <w:t>13</w:t>
      </w:r>
      <w:r w:rsidR="00054879" w:rsidRPr="0000630D">
        <w:rPr>
          <w:rFonts w:ascii="Times New Roman" w:hAnsi="Times New Roman" w:cs="Times New Roman"/>
          <w:sz w:val="22"/>
          <w:szCs w:val="22"/>
        </w:rPr>
        <w:t>].</w:t>
      </w:r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054879" w:rsidRPr="0000630D">
        <w:rPr>
          <w:rFonts w:ascii="Times New Roman" w:hAnsi="Times New Roman" w:cs="Times New Roman"/>
          <w:sz w:val="22"/>
          <w:szCs w:val="22"/>
        </w:rPr>
        <w:lastRenderedPageBreak/>
        <w:t xml:space="preserve">Отметим, что в </w:t>
      </w:r>
      <w:r w:rsidRPr="0000630D">
        <w:rPr>
          <w:rFonts w:ascii="Times New Roman" w:hAnsi="Times New Roman" w:cs="Times New Roman"/>
          <w:sz w:val="22"/>
          <w:szCs w:val="22"/>
        </w:rPr>
        <w:t>работе [</w:t>
      </w:r>
      <w:r w:rsidR="00141550" w:rsidRPr="0000630D">
        <w:rPr>
          <w:rFonts w:ascii="Times New Roman" w:hAnsi="Times New Roman" w:cs="Times New Roman"/>
          <w:sz w:val="22"/>
          <w:szCs w:val="22"/>
        </w:rPr>
        <w:t>6</w:t>
      </w:r>
      <w:r w:rsidRPr="0000630D">
        <w:rPr>
          <w:rFonts w:ascii="Times New Roman" w:hAnsi="Times New Roman" w:cs="Times New Roman"/>
          <w:sz w:val="22"/>
          <w:szCs w:val="22"/>
        </w:rPr>
        <w:t xml:space="preserve">] резонансные состояния в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00630D">
        <w:rPr>
          <w:rFonts w:ascii="Times New Roman" w:hAnsi="Times New Roman" w:cs="Times New Roman"/>
          <w:sz w:val="22"/>
          <w:szCs w:val="22"/>
        </w:rPr>
        <w:t xml:space="preserve">He также были рассмотрены в канале демократического распада на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00630D">
        <w:rPr>
          <w:rFonts w:ascii="Times New Roman" w:hAnsi="Times New Roman" w:cs="Times New Roman"/>
          <w:sz w:val="22"/>
          <w:szCs w:val="22"/>
        </w:rPr>
        <w:t xml:space="preserve">He и три нейтрона. </w:t>
      </w:r>
    </w:p>
    <w:p w14:paraId="4BDCF145" w14:textId="356B0068" w:rsidR="00111430" w:rsidRPr="0000630D" w:rsidRDefault="00054879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Более сложной задачей оказалось обобщение метода SS-HORSE–NCSM на задачи истинно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многочастичного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рассеяния с нечетным числом частиц [</w:t>
      </w:r>
      <w:r w:rsidR="00930E3C" w:rsidRPr="0000630D">
        <w:rPr>
          <w:rFonts w:ascii="Times New Roman" w:hAnsi="Times New Roman" w:cs="Times New Roman"/>
          <w:sz w:val="22"/>
          <w:szCs w:val="22"/>
        </w:rPr>
        <w:t>14</w:t>
      </w:r>
      <w:r w:rsidRPr="0000630D">
        <w:rPr>
          <w:rFonts w:ascii="Times New Roman" w:hAnsi="Times New Roman" w:cs="Times New Roman"/>
          <w:sz w:val="22"/>
          <w:szCs w:val="22"/>
        </w:rPr>
        <w:t xml:space="preserve">]. </w:t>
      </w:r>
      <w:r w:rsidR="00CF1B1B" w:rsidRPr="0000630D">
        <w:rPr>
          <w:rFonts w:ascii="Times New Roman" w:hAnsi="Times New Roman" w:cs="Times New Roman"/>
          <w:sz w:val="22"/>
          <w:szCs w:val="22"/>
        </w:rPr>
        <w:t>С</w:t>
      </w:r>
      <w:r w:rsidRPr="0000630D">
        <w:rPr>
          <w:rFonts w:ascii="Times New Roman" w:hAnsi="Times New Roman" w:cs="Times New Roman"/>
          <w:sz w:val="22"/>
          <w:szCs w:val="22"/>
        </w:rPr>
        <w:t>истемы</w:t>
      </w:r>
      <w:r w:rsidR="00CF1B1B" w:rsidRPr="0000630D">
        <w:rPr>
          <w:rFonts w:ascii="Times New Roman" w:hAnsi="Times New Roman" w:cs="Times New Roman"/>
          <w:sz w:val="22"/>
          <w:szCs w:val="22"/>
        </w:rPr>
        <w:t>, распадающиеся на нечетное число фрагментов,</w:t>
      </w:r>
      <w:r w:rsidRPr="0000630D">
        <w:rPr>
          <w:rFonts w:ascii="Times New Roman" w:hAnsi="Times New Roman" w:cs="Times New Roman"/>
          <w:sz w:val="22"/>
          <w:szCs w:val="22"/>
        </w:rPr>
        <w:t xml:space="preserve"> характеризуются полуцелым эффективным орбитальным моментом. Как следствие </w:t>
      </w:r>
      <w:r w:rsidRPr="0000630D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00630D">
        <w:rPr>
          <w:rFonts w:ascii="Times New Roman" w:hAnsi="Times New Roman" w:cs="Times New Roman"/>
          <w:sz w:val="22"/>
          <w:szCs w:val="22"/>
        </w:rPr>
        <w:t xml:space="preserve">-матрица обладает более сложными аналитическими свойствами. В частности, она является многолистной функцией </w:t>
      </w:r>
      <w:r w:rsidR="00CF1B1B" w:rsidRPr="0000630D">
        <w:rPr>
          <w:rFonts w:ascii="Times New Roman" w:hAnsi="Times New Roman" w:cs="Times New Roman"/>
          <w:sz w:val="22"/>
          <w:szCs w:val="22"/>
        </w:rPr>
        <w:t>комплексно</w:t>
      </w:r>
      <w:r w:rsidR="00223F7D" w:rsidRPr="0000630D">
        <w:rPr>
          <w:rFonts w:ascii="Times New Roman" w:hAnsi="Times New Roman" w:cs="Times New Roman"/>
          <w:sz w:val="22"/>
          <w:szCs w:val="22"/>
        </w:rPr>
        <w:t>го</w:t>
      </w:r>
      <w:r w:rsidR="00CF1B1B" w:rsidRPr="0000630D">
        <w:rPr>
          <w:rFonts w:ascii="Times New Roman" w:hAnsi="Times New Roman" w:cs="Times New Roman"/>
          <w:sz w:val="22"/>
          <w:szCs w:val="22"/>
        </w:rPr>
        <w:t xml:space="preserve"> импульс</w:t>
      </w:r>
      <w:r w:rsidR="00223F7D" w:rsidRPr="0000630D">
        <w:rPr>
          <w:rFonts w:ascii="Times New Roman" w:hAnsi="Times New Roman" w:cs="Times New Roman"/>
          <w:sz w:val="22"/>
          <w:szCs w:val="22"/>
        </w:rPr>
        <w:t>а</w:t>
      </w:r>
      <w:r w:rsidR="00CF1B1B" w:rsidRPr="0000630D">
        <w:rPr>
          <w:rFonts w:ascii="Times New Roman" w:hAnsi="Times New Roman" w:cs="Times New Roman"/>
          <w:sz w:val="22"/>
          <w:szCs w:val="22"/>
        </w:rPr>
        <w:t>.</w:t>
      </w:r>
    </w:p>
    <w:p w14:paraId="729B0960" w14:textId="30D1F210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>Экспериментальные исследования системы трех нейтронов начались в 60-х годах XX века. Подробную историю поиска связанных и резонансных состояний в системе трех нейтронов можно найти в обзорах [</w:t>
      </w:r>
      <w:r w:rsidR="00930E3C" w:rsidRPr="0000630D">
        <w:rPr>
          <w:rFonts w:ascii="Times New Roman" w:hAnsi="Times New Roman" w:cs="Times New Roman"/>
          <w:sz w:val="22"/>
          <w:szCs w:val="22"/>
        </w:rPr>
        <w:t>15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930E3C" w:rsidRPr="0000630D">
        <w:rPr>
          <w:rFonts w:ascii="Times New Roman" w:hAnsi="Times New Roman" w:cs="Times New Roman"/>
          <w:sz w:val="22"/>
          <w:szCs w:val="22"/>
        </w:rPr>
        <w:t>16</w:t>
      </w:r>
      <w:r w:rsidRPr="0000630D">
        <w:rPr>
          <w:rFonts w:ascii="Times New Roman" w:hAnsi="Times New Roman" w:cs="Times New Roman"/>
          <w:sz w:val="22"/>
          <w:szCs w:val="22"/>
        </w:rPr>
        <w:t xml:space="preserve">] (см. также ссылки в этих работах). Главным итогом всех многочисленных экспериментов является отсутствие связанного состояния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, но при этом не исключается резонансное состояние.</w:t>
      </w:r>
    </w:p>
    <w:p w14:paraId="40C395F2" w14:textId="00A79902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>В работах [</w:t>
      </w:r>
      <w:r w:rsidR="00930E3C" w:rsidRPr="0000630D">
        <w:rPr>
          <w:rFonts w:ascii="Times New Roman" w:hAnsi="Times New Roman" w:cs="Times New Roman"/>
          <w:sz w:val="22"/>
          <w:szCs w:val="22"/>
        </w:rPr>
        <w:t>15</w:t>
      </w:r>
      <w:r w:rsidRPr="0000630D">
        <w:rPr>
          <w:rFonts w:ascii="Times New Roman" w:hAnsi="Times New Roman" w:cs="Times New Roman"/>
          <w:sz w:val="22"/>
          <w:szCs w:val="22"/>
        </w:rPr>
        <w:t>,</w:t>
      </w:r>
      <w:r w:rsidR="00930E3C" w:rsidRPr="0000630D">
        <w:rPr>
          <w:rFonts w:ascii="Times New Roman" w:hAnsi="Times New Roman" w:cs="Times New Roman"/>
          <w:sz w:val="22"/>
          <w:szCs w:val="22"/>
        </w:rPr>
        <w:t xml:space="preserve"> 16</w:t>
      </w:r>
      <w:r w:rsidRPr="0000630D">
        <w:rPr>
          <w:rFonts w:ascii="Times New Roman" w:hAnsi="Times New Roman" w:cs="Times New Roman"/>
          <w:sz w:val="22"/>
          <w:szCs w:val="22"/>
        </w:rPr>
        <w:t>] также рассматривается история теоретического исследования системы трех нейтронов. Позже этого обзора появились новые работы, посвященные этой теме. Среди них нельзя не отметить недавние исследования на основе моделей реалистических нуклон-нуклонных (NN) взаимодействий [</w:t>
      </w:r>
      <w:r w:rsidR="00930E3C" w:rsidRPr="0000630D">
        <w:rPr>
          <w:rFonts w:ascii="Times New Roman" w:hAnsi="Times New Roman" w:cs="Times New Roman"/>
          <w:sz w:val="22"/>
          <w:szCs w:val="22"/>
        </w:rPr>
        <w:t>17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930E3C" w:rsidRPr="0000630D">
        <w:rPr>
          <w:rFonts w:ascii="Times New Roman" w:hAnsi="Times New Roman" w:cs="Times New Roman"/>
          <w:sz w:val="22"/>
          <w:szCs w:val="22"/>
        </w:rPr>
        <w:t>18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930E3C" w:rsidRPr="0000630D">
        <w:rPr>
          <w:rFonts w:ascii="Times New Roman" w:hAnsi="Times New Roman" w:cs="Times New Roman"/>
          <w:sz w:val="22"/>
          <w:szCs w:val="22"/>
        </w:rPr>
        <w:t>19</w:t>
      </w:r>
      <w:r w:rsidRPr="0000630D">
        <w:rPr>
          <w:rFonts w:ascii="Times New Roman" w:hAnsi="Times New Roman" w:cs="Times New Roman"/>
          <w:sz w:val="22"/>
          <w:szCs w:val="22"/>
        </w:rPr>
        <w:t>]. В исследованиях [</w:t>
      </w:r>
      <w:r w:rsidR="00930E3C" w:rsidRPr="0000630D">
        <w:rPr>
          <w:rFonts w:ascii="Times New Roman" w:hAnsi="Times New Roman" w:cs="Times New Roman"/>
          <w:sz w:val="22"/>
          <w:szCs w:val="22"/>
        </w:rPr>
        <w:t>17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930E3C" w:rsidRPr="0000630D">
        <w:rPr>
          <w:rFonts w:ascii="Times New Roman" w:hAnsi="Times New Roman" w:cs="Times New Roman"/>
          <w:sz w:val="22"/>
          <w:szCs w:val="22"/>
        </w:rPr>
        <w:t>18</w:t>
      </w:r>
      <w:r w:rsidRPr="0000630D">
        <w:rPr>
          <w:rFonts w:ascii="Times New Roman" w:hAnsi="Times New Roman" w:cs="Times New Roman"/>
          <w:sz w:val="22"/>
          <w:szCs w:val="22"/>
        </w:rPr>
        <w:t xml:space="preserve">] не было найдено резонансного состояния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. В работе [</w:t>
      </w:r>
      <w:r w:rsidR="00930E3C" w:rsidRPr="0000630D">
        <w:rPr>
          <w:rFonts w:ascii="Times New Roman" w:hAnsi="Times New Roman" w:cs="Times New Roman"/>
          <w:sz w:val="22"/>
          <w:szCs w:val="22"/>
        </w:rPr>
        <w:t>19</w:t>
      </w:r>
      <w:r w:rsidRPr="0000630D">
        <w:rPr>
          <w:rFonts w:ascii="Times New Roman" w:hAnsi="Times New Roman" w:cs="Times New Roman"/>
          <w:sz w:val="22"/>
          <w:szCs w:val="22"/>
        </w:rPr>
        <w:t xml:space="preserve">] в рамках </w:t>
      </w:r>
      <w:proofErr w:type="spellStart"/>
      <w:r w:rsidRPr="0000630D">
        <w:rPr>
          <w:rFonts w:ascii="Times New Roman" w:hAnsi="Times New Roman" w:cs="Times New Roman"/>
          <w:i/>
          <w:iCs/>
          <w:sz w:val="22"/>
          <w:szCs w:val="22"/>
        </w:rPr>
        <w:t>ab</w:t>
      </w:r>
      <w:proofErr w:type="spellEnd"/>
      <w:r w:rsidRPr="0000630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i/>
          <w:iCs/>
          <w:sz w:val="22"/>
          <w:szCs w:val="22"/>
        </w:rPr>
        <w:t>initio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Гамовской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модели оболочек без инертного кора предсказан резонанс при энергии 1</w:t>
      </w:r>
      <w:r w:rsidR="0000630D">
        <w:rPr>
          <w:rFonts w:ascii="Times New Roman" w:hAnsi="Times New Roman" w:cs="Times New Roman"/>
          <w:sz w:val="22"/>
          <w:szCs w:val="22"/>
        </w:rPr>
        <w:t>,</w:t>
      </w:r>
      <w:r w:rsidRPr="0000630D">
        <w:rPr>
          <w:rFonts w:ascii="Times New Roman" w:hAnsi="Times New Roman" w:cs="Times New Roman"/>
          <w:sz w:val="22"/>
          <w:szCs w:val="22"/>
        </w:rPr>
        <w:t xml:space="preserve">29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MэВ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 шириной 0</w:t>
      </w:r>
      <w:r w:rsidR="0000630D">
        <w:rPr>
          <w:rFonts w:ascii="Times New Roman" w:hAnsi="Times New Roman" w:cs="Times New Roman"/>
          <w:sz w:val="22"/>
          <w:szCs w:val="22"/>
        </w:rPr>
        <w:t>,</w:t>
      </w:r>
      <w:r w:rsidRPr="0000630D">
        <w:rPr>
          <w:rFonts w:ascii="Times New Roman" w:hAnsi="Times New Roman" w:cs="Times New Roman"/>
          <w:sz w:val="22"/>
          <w:szCs w:val="22"/>
        </w:rPr>
        <w:t>91 МэВ.</w:t>
      </w:r>
    </w:p>
    <w:p w14:paraId="2A5C3850" w14:textId="5E358ACC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Мы исследовали возможность существования резонансов в системе трех нейтронов в подходе SS-HORSE–NCSM. С этой целью в </w:t>
      </w:r>
      <w:r w:rsidR="00966483" w:rsidRPr="0000630D">
        <w:rPr>
          <w:rFonts w:ascii="Times New Roman" w:hAnsi="Times New Roman" w:cs="Times New Roman"/>
          <w:sz w:val="22"/>
          <w:szCs w:val="22"/>
        </w:rPr>
        <w:t>NCSM</w:t>
      </w:r>
      <w:r w:rsidRPr="0000630D">
        <w:rPr>
          <w:rFonts w:ascii="Times New Roman" w:hAnsi="Times New Roman" w:cs="Times New Roman"/>
          <w:sz w:val="22"/>
          <w:szCs w:val="22"/>
        </w:rPr>
        <w:t xml:space="preserve"> были проведены расчеты энергий нижайших состояний с различными реалистическими нуклон-нуклонными потенциалами: “мягкими”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Daejeon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16 [1</w:t>
      </w:r>
      <w:r w:rsidR="00FD6629" w:rsidRPr="0000630D">
        <w:rPr>
          <w:rFonts w:ascii="Times New Roman" w:hAnsi="Times New Roman" w:cs="Times New Roman"/>
          <w:sz w:val="22"/>
          <w:szCs w:val="22"/>
        </w:rPr>
        <w:t>0</w:t>
      </w:r>
      <w:r w:rsidRPr="0000630D">
        <w:rPr>
          <w:rFonts w:ascii="Times New Roman" w:hAnsi="Times New Roman" w:cs="Times New Roman"/>
          <w:sz w:val="22"/>
          <w:szCs w:val="22"/>
        </w:rPr>
        <w:t>], JISP16 [</w:t>
      </w:r>
      <w:r w:rsidR="00FD6629" w:rsidRPr="0000630D">
        <w:rPr>
          <w:rFonts w:ascii="Times New Roman" w:hAnsi="Times New Roman" w:cs="Times New Roman"/>
          <w:sz w:val="22"/>
          <w:szCs w:val="22"/>
        </w:rPr>
        <w:t>9</w:t>
      </w:r>
      <w:r w:rsidRPr="0000630D">
        <w:rPr>
          <w:rFonts w:ascii="Times New Roman" w:hAnsi="Times New Roman" w:cs="Times New Roman"/>
          <w:sz w:val="22"/>
          <w:szCs w:val="22"/>
        </w:rPr>
        <w:t xml:space="preserve">] и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Idaho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N3LO [</w:t>
      </w:r>
      <w:r w:rsidR="00966483" w:rsidRPr="0000630D">
        <w:rPr>
          <w:rFonts w:ascii="Times New Roman" w:hAnsi="Times New Roman" w:cs="Times New Roman"/>
          <w:sz w:val="22"/>
          <w:szCs w:val="22"/>
        </w:rPr>
        <w:t>20</w:t>
      </w:r>
      <w:r w:rsidRPr="0000630D">
        <w:rPr>
          <w:rFonts w:ascii="Times New Roman" w:hAnsi="Times New Roman" w:cs="Times New Roman"/>
          <w:sz w:val="22"/>
          <w:szCs w:val="22"/>
        </w:rPr>
        <w:t xml:space="preserve">],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регуляризованным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методом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ренорм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-группы SRG (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similarity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renormalization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) [</w:t>
      </w:r>
      <w:r w:rsidR="00966483" w:rsidRPr="0000630D">
        <w:rPr>
          <w:rFonts w:ascii="Times New Roman" w:hAnsi="Times New Roman" w:cs="Times New Roman"/>
          <w:sz w:val="22"/>
          <w:szCs w:val="22"/>
        </w:rPr>
        <w:t>21</w:t>
      </w:r>
      <w:r w:rsidRPr="0000630D">
        <w:rPr>
          <w:rFonts w:ascii="Times New Roman" w:hAnsi="Times New Roman" w:cs="Times New Roman"/>
          <w:sz w:val="22"/>
          <w:szCs w:val="22"/>
        </w:rPr>
        <w:t>,</w:t>
      </w:r>
      <w:r w:rsidR="00966483" w:rsidRPr="0000630D">
        <w:rPr>
          <w:rFonts w:ascii="Times New Roman" w:hAnsi="Times New Roman" w:cs="Times New Roman"/>
          <w:sz w:val="22"/>
          <w:szCs w:val="22"/>
        </w:rPr>
        <w:t>22</w:t>
      </w:r>
      <w:r w:rsidRPr="0000630D">
        <w:rPr>
          <w:rFonts w:ascii="Times New Roman" w:hAnsi="Times New Roman" w:cs="Times New Roman"/>
          <w:sz w:val="22"/>
          <w:szCs w:val="22"/>
        </w:rPr>
        <w:t xml:space="preserve">], а также с </w:t>
      </w:r>
      <w:r w:rsidR="00223F7D" w:rsidRPr="0000630D">
        <w:rPr>
          <w:rFonts w:ascii="Times New Roman" w:hAnsi="Times New Roman" w:cs="Times New Roman"/>
          <w:sz w:val="22"/>
          <w:szCs w:val="22"/>
        </w:rPr>
        <w:t xml:space="preserve">“жесткими” </w:t>
      </w:r>
      <w:r w:rsidRPr="0000630D">
        <w:rPr>
          <w:rFonts w:ascii="Times New Roman" w:hAnsi="Times New Roman" w:cs="Times New Roman"/>
          <w:sz w:val="22"/>
          <w:szCs w:val="22"/>
        </w:rPr>
        <w:t>голыми NN-потенциалами, полученны</w:t>
      </w:r>
      <w:r w:rsidR="00223F7D" w:rsidRPr="0000630D">
        <w:rPr>
          <w:rFonts w:ascii="Times New Roman" w:hAnsi="Times New Roman" w:cs="Times New Roman"/>
          <w:sz w:val="22"/>
          <w:szCs w:val="22"/>
        </w:rPr>
        <w:t>ми</w:t>
      </w:r>
      <w:r w:rsidRPr="0000630D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киральной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эффективной теории поля: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Idaho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N3LO [</w:t>
      </w:r>
      <w:r w:rsidR="00966483" w:rsidRPr="0000630D">
        <w:rPr>
          <w:rFonts w:ascii="Times New Roman" w:hAnsi="Times New Roman" w:cs="Times New Roman"/>
          <w:sz w:val="22"/>
          <w:szCs w:val="22"/>
        </w:rPr>
        <w:t>20</w:t>
      </w:r>
      <w:r w:rsidRPr="0000630D">
        <w:rPr>
          <w:rFonts w:ascii="Times New Roman" w:hAnsi="Times New Roman" w:cs="Times New Roman"/>
          <w:sz w:val="22"/>
          <w:szCs w:val="22"/>
        </w:rPr>
        <w:t>] и LENPIC N4LO [</w:t>
      </w:r>
      <w:r w:rsidR="00966483" w:rsidRPr="0000630D">
        <w:rPr>
          <w:rFonts w:ascii="Times New Roman" w:hAnsi="Times New Roman" w:cs="Times New Roman"/>
          <w:sz w:val="22"/>
          <w:szCs w:val="22"/>
        </w:rPr>
        <w:t>23</w:t>
      </w:r>
      <w:r w:rsidRPr="0000630D">
        <w:rPr>
          <w:rFonts w:ascii="Times New Roman" w:hAnsi="Times New Roman" w:cs="Times New Roman"/>
          <w:sz w:val="22"/>
          <w:szCs w:val="22"/>
        </w:rPr>
        <w:t xml:space="preserve">]. Для всех перечисленных взаимодействий были произведены расчеты в </w:t>
      </w:r>
      <w:r w:rsidR="00966483" w:rsidRPr="0000630D">
        <w:rPr>
          <w:rFonts w:ascii="Times New Roman" w:hAnsi="Times New Roman" w:cs="Times New Roman"/>
          <w:sz w:val="22"/>
          <w:szCs w:val="22"/>
        </w:rPr>
        <w:t>NCSM</w:t>
      </w:r>
      <w:r w:rsidRPr="0000630D">
        <w:rPr>
          <w:rFonts w:ascii="Times New Roman" w:hAnsi="Times New Roman" w:cs="Times New Roman"/>
          <w:sz w:val="22"/>
          <w:szCs w:val="22"/>
        </w:rPr>
        <w:t xml:space="preserve"> с максимальным числом квантов возбуждения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max</m:t>
            </m:r>
          </m:sub>
        </m:sSub>
      </m:oMath>
      <w:r w:rsidRPr="0000630D">
        <w:rPr>
          <w:rFonts w:ascii="Times New Roman" w:hAnsi="Times New Roman" w:cs="Times New Roman"/>
          <w:sz w:val="22"/>
          <w:szCs w:val="22"/>
        </w:rPr>
        <w:t xml:space="preserve">  в </w:t>
      </w:r>
      <w:r w:rsidR="00223F7D" w:rsidRPr="0000630D">
        <w:rPr>
          <w:rFonts w:ascii="Times New Roman" w:hAnsi="Times New Roman" w:cs="Times New Roman"/>
          <w:sz w:val="22"/>
          <w:szCs w:val="22"/>
        </w:rPr>
        <w:t xml:space="preserve">диапазоне </w:t>
      </w:r>
      <w:r w:rsidRPr="0000630D">
        <w:rPr>
          <w:rFonts w:ascii="Times New Roman" w:hAnsi="Times New Roman" w:cs="Times New Roman"/>
          <w:sz w:val="22"/>
          <w:szCs w:val="22"/>
        </w:rPr>
        <w:t xml:space="preserve">от 4 до 20 и параметром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ℏΩ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осцилляторного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базиса в пределах от 2 МэВ до 50 МэВ. </w:t>
      </w:r>
    </w:p>
    <w:p w14:paraId="2EE90EE9" w14:textId="10AF761C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Минимальное число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осцилляторных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квантов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тринейтроне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=1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. Так как число квантов в </w:t>
      </w:r>
      <w:r w:rsidRPr="0000630D">
        <w:rPr>
          <w:rFonts w:ascii="Times New Roman" w:hAnsi="Times New Roman" w:cs="Times New Roman"/>
          <w:spacing w:val="-4"/>
          <w:sz w:val="22"/>
          <w:szCs w:val="22"/>
        </w:rPr>
        <w:t xml:space="preserve">6-мерном гармоническом осцилляторе определяется формулой </w:t>
      </w:r>
      <m:oMath>
        <m:r>
          <w:rPr>
            <w:rFonts w:ascii="Cambria Math" w:hAnsi="Cambria Math" w:cs="Times New Roman"/>
            <w:spacing w:val="-4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 w:cs="Times New Roman"/>
            <w:spacing w:val="-4"/>
            <w:sz w:val="22"/>
            <w:szCs w:val="22"/>
          </w:rPr>
          <m:t>=2</m:t>
        </m:r>
        <m:r>
          <w:rPr>
            <w:rFonts w:ascii="Cambria Math" w:hAnsi="Cambria Math" w:cs="Times New Roman"/>
            <w:spacing w:val="-4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 w:cs="Times New Roman"/>
            <w:spacing w:val="-4"/>
            <w:sz w:val="22"/>
            <w:szCs w:val="22"/>
          </w:rPr>
          <m:t>+</m:t>
        </m:r>
        <m:r>
          <w:rPr>
            <w:rFonts w:ascii="Cambria Math" w:hAnsi="Cambria Math" w:cs="Times New Roman"/>
            <w:spacing w:val="-4"/>
            <w:sz w:val="22"/>
            <w:szCs w:val="22"/>
          </w:rPr>
          <m:t>K</m:t>
        </m:r>
      </m:oMath>
      <w:r w:rsidRPr="0000630D">
        <w:rPr>
          <w:rFonts w:ascii="Times New Roman" w:hAnsi="Times New Roman" w:cs="Times New Roman"/>
          <w:spacing w:val="-4"/>
          <w:sz w:val="22"/>
          <w:szCs w:val="22"/>
        </w:rPr>
        <w:t xml:space="preserve">, где </w:t>
      </w:r>
      <m:oMath>
        <m:r>
          <w:rPr>
            <w:rFonts w:ascii="Cambria Math" w:hAnsi="Cambria Math" w:cs="Times New Roman"/>
            <w:spacing w:val="-4"/>
            <w:sz w:val="22"/>
            <w:szCs w:val="22"/>
          </w:rPr>
          <m:t>n</m:t>
        </m:r>
      </m:oMath>
      <w:r w:rsidRPr="0000630D">
        <w:rPr>
          <w:rFonts w:ascii="Times New Roman" w:hAnsi="Times New Roman" w:cs="Times New Roman"/>
          <w:spacing w:val="-4"/>
          <w:sz w:val="22"/>
          <w:szCs w:val="22"/>
        </w:rPr>
        <w:t xml:space="preserve"> – радиальное квантовое число, то минимальное значение </w:t>
      </w:r>
      <w:proofErr w:type="spellStart"/>
      <w:r w:rsidRPr="0000630D">
        <w:rPr>
          <w:rFonts w:ascii="Times New Roman" w:hAnsi="Times New Roman" w:cs="Times New Roman"/>
          <w:spacing w:val="-4"/>
          <w:sz w:val="22"/>
          <w:szCs w:val="22"/>
        </w:rPr>
        <w:t>гипермомента</w:t>
      </w:r>
      <w:proofErr w:type="spellEnd"/>
      <w:r w:rsidRPr="0000630D">
        <w:rPr>
          <w:rFonts w:ascii="Times New Roman" w:hAnsi="Times New Roman" w:cs="Times New Roman"/>
          <w:spacing w:val="-4"/>
          <w:sz w:val="22"/>
          <w:szCs w:val="22"/>
        </w:rPr>
        <w:t xml:space="preserve">, которое мы использовали при анализе, </w:t>
      </w:r>
      <m:oMath>
        <m:sSub>
          <m:sSubPr>
            <m:ctrlPr>
              <w:rPr>
                <w:rFonts w:ascii="Cambria Math" w:hAnsi="Cambria Math" w:cs="Times New Roman"/>
                <w:spacing w:val="-4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2"/>
                <w:szCs w:val="2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4"/>
                <w:sz w:val="22"/>
                <w:szCs w:val="22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4"/>
            <w:sz w:val="22"/>
            <w:szCs w:val="22"/>
          </w:rPr>
          <m:t>=1</m:t>
        </m:r>
      </m:oMath>
      <w:r w:rsidRPr="0000630D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223F7D" w:rsidRPr="0000630D">
        <w:rPr>
          <w:rFonts w:ascii="Times New Roman" w:hAnsi="Times New Roman" w:cs="Times New Roman"/>
          <w:sz w:val="22"/>
          <w:szCs w:val="22"/>
        </w:rPr>
        <w:t xml:space="preserve">Состояния с более высокими значениями </w:t>
      </w:r>
      <m:oMath>
        <m:r>
          <w:rPr>
            <w:rFonts w:ascii="Cambria Math" w:hAnsi="Cambria Math" w:cs="Times New Roman"/>
            <w:sz w:val="22"/>
            <w:szCs w:val="22"/>
          </w:rPr>
          <m:t>K</m:t>
        </m:r>
      </m:oMath>
      <w:r w:rsidR="00223F7D" w:rsidRPr="0000630D">
        <w:rPr>
          <w:rFonts w:ascii="Times New Roman" w:eastAsiaTheme="minorEastAsia" w:hAnsi="Times New Roman" w:cs="Times New Roman"/>
          <w:iCs/>
          <w:sz w:val="22"/>
          <w:szCs w:val="22"/>
        </w:rPr>
        <w:t xml:space="preserve"> подавлены центробежным барьером.</w:t>
      </w:r>
    </w:p>
    <w:p w14:paraId="3DEDBCD0" w14:textId="08B38593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Энергии нижайшего состояния (имеющего спин-четность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3/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-</m:t>
            </m:r>
          </m:sup>
        </m:sSup>
      </m:oMath>
      <w:r w:rsidRPr="0000630D">
        <w:rPr>
          <w:rFonts w:ascii="Times New Roman" w:hAnsi="Times New Roman" w:cs="Times New Roman"/>
          <w:sz w:val="22"/>
          <w:szCs w:val="22"/>
        </w:rPr>
        <w:t>), рассчитанные в МОБИК с NN -взаимодействием Daejeon16 [1</w:t>
      </w:r>
      <w:r w:rsidR="00966483" w:rsidRPr="0000630D">
        <w:rPr>
          <w:rFonts w:ascii="Times New Roman" w:hAnsi="Times New Roman" w:cs="Times New Roman"/>
          <w:sz w:val="22"/>
          <w:szCs w:val="22"/>
        </w:rPr>
        <w:t>0</w:t>
      </w:r>
      <w:r w:rsidRPr="0000630D">
        <w:rPr>
          <w:rFonts w:ascii="Times New Roman" w:hAnsi="Times New Roman" w:cs="Times New Roman"/>
          <w:sz w:val="22"/>
          <w:szCs w:val="22"/>
        </w:rPr>
        <w:t>], представлены на левой панели рис.</w:t>
      </w:r>
      <w:r w:rsidR="00111430" w:rsidRPr="0000630D">
        <w:rPr>
          <w:rFonts w:ascii="Times New Roman" w:hAnsi="Times New Roman" w:cs="Times New Roman"/>
          <w:sz w:val="22"/>
          <w:szCs w:val="22"/>
        </w:rPr>
        <w:t xml:space="preserve"> 1</w:t>
      </w:r>
      <w:r w:rsidRPr="0000630D">
        <w:rPr>
          <w:rFonts w:ascii="Times New Roman" w:hAnsi="Times New Roman" w:cs="Times New Roman"/>
          <w:sz w:val="22"/>
          <w:szCs w:val="22"/>
        </w:rPr>
        <w:t xml:space="preserve">. На правой панели показаны соответствующие сдвиги фаз истинно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многочастичного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рассеяния</w:t>
      </w:r>
      <w:r w:rsidR="00111430" w:rsidRPr="0000630D">
        <w:rPr>
          <w:rFonts w:ascii="Times New Roman" w:hAnsi="Times New Roman" w:cs="Times New Roman"/>
          <w:sz w:val="22"/>
          <w:szCs w:val="22"/>
        </w:rPr>
        <w:t xml:space="preserve"> [</w:t>
      </w:r>
      <w:r w:rsidR="00966483" w:rsidRPr="0000630D">
        <w:rPr>
          <w:rFonts w:ascii="Times New Roman" w:hAnsi="Times New Roman" w:cs="Times New Roman"/>
          <w:sz w:val="22"/>
          <w:szCs w:val="22"/>
        </w:rPr>
        <w:t>14</w:t>
      </w:r>
      <w:r w:rsidR="00111430" w:rsidRPr="0000630D">
        <w:rPr>
          <w:rFonts w:ascii="Times New Roman" w:hAnsi="Times New Roman" w:cs="Times New Roman"/>
          <w:sz w:val="22"/>
          <w:szCs w:val="22"/>
        </w:rPr>
        <w:t>]</w:t>
      </w:r>
      <w:r w:rsidRPr="0000630D">
        <w:rPr>
          <w:rFonts w:ascii="Times New Roman" w:hAnsi="Times New Roman" w:cs="Times New Roman"/>
          <w:sz w:val="22"/>
          <w:szCs w:val="22"/>
        </w:rPr>
        <w:t xml:space="preserve">. Видно, что с ростом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max</m:t>
            </m:r>
          </m:sub>
        </m:sSub>
      </m:oMath>
      <w:r w:rsidRPr="0000630D">
        <w:rPr>
          <w:rFonts w:ascii="Times New Roman" w:hAnsi="Times New Roman" w:cs="Times New Roman"/>
          <w:sz w:val="22"/>
          <w:szCs w:val="22"/>
        </w:rPr>
        <w:t xml:space="preserve"> на</w:t>
      </w:r>
      <w:r w:rsidR="00966483" w:rsidRPr="0000630D">
        <w:rPr>
          <w:rFonts w:ascii="Times New Roman" w:hAnsi="Times New Roman" w:cs="Times New Roman"/>
          <w:sz w:val="22"/>
          <w:szCs w:val="22"/>
        </w:rPr>
        <w:t xml:space="preserve">блюдается </w:t>
      </w:r>
      <w:r w:rsidRPr="0000630D">
        <w:rPr>
          <w:rFonts w:ascii="Times New Roman" w:hAnsi="Times New Roman" w:cs="Times New Roman"/>
          <w:sz w:val="22"/>
          <w:szCs w:val="22"/>
        </w:rPr>
        <w:t>сходимость рассчитанных сдвигов фаз и они начинают формировать единую общую кривую, характерную для резонансного поведения.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864"/>
      </w:tblGrid>
      <w:tr w:rsidR="00533945" w:rsidRPr="0000630D" w14:paraId="6DADA944" w14:textId="77777777" w:rsidTr="0000630D">
        <w:tc>
          <w:tcPr>
            <w:tcW w:w="4774" w:type="dxa"/>
          </w:tcPr>
          <w:p w14:paraId="64C2A4DA" w14:textId="77777777" w:rsidR="00533945" w:rsidRPr="0000630D" w:rsidRDefault="00533945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00630D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248EF7" wp14:editId="528D85E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-3175</wp:posOffset>
                  </wp:positionV>
                  <wp:extent cx="2926715" cy="2073910"/>
                  <wp:effectExtent l="0" t="0" r="0" b="0"/>
                  <wp:wrapTopAndBottom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71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64" w:type="dxa"/>
          </w:tcPr>
          <w:p w14:paraId="1A3B3D5C" w14:textId="77777777" w:rsidR="00533945" w:rsidRPr="0000630D" w:rsidRDefault="00533945" w:rsidP="0000630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630D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A57BA07" wp14:editId="32886BB8">
                  <wp:extent cx="2978944" cy="2113510"/>
                  <wp:effectExtent l="0" t="0" r="5715" b="0"/>
                  <wp:docPr id="798536832" name="Рисунок 79853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580" cy="214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945" w:rsidRPr="0000630D" w14:paraId="4DA1399D" w14:textId="77777777" w:rsidTr="0000630D">
        <w:tc>
          <w:tcPr>
            <w:tcW w:w="9638" w:type="dxa"/>
            <w:gridSpan w:val="2"/>
          </w:tcPr>
          <w:p w14:paraId="3A439468" w14:textId="603E1380" w:rsidR="00533945" w:rsidRPr="0000630D" w:rsidRDefault="00533945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630D">
              <w:rPr>
                <w:rFonts w:ascii="Times New Roman" w:hAnsi="Times New Roman"/>
                <w:i/>
                <w:sz w:val="22"/>
                <w:szCs w:val="22"/>
              </w:rPr>
              <w:t>Рис. 1.</w:t>
            </w:r>
            <w:r w:rsidRPr="0000630D">
              <w:rPr>
                <w:rFonts w:ascii="Times New Roman" w:hAnsi="Times New Roman"/>
                <w:sz w:val="22"/>
                <w:szCs w:val="22"/>
              </w:rPr>
              <w:t xml:space="preserve"> Слева: энергии нижайшего состояния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3/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</m:sup>
              </m:sSup>
            </m:oMath>
            <w:r w:rsidRPr="000063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630D">
              <w:rPr>
                <w:rFonts w:ascii="Times New Roman" w:hAnsi="Times New Roman"/>
                <w:sz w:val="22"/>
                <w:szCs w:val="22"/>
              </w:rPr>
              <w:t>тринейтрона</w:t>
            </w:r>
            <w:proofErr w:type="spellEnd"/>
            <w:r w:rsidRPr="0000630D">
              <w:rPr>
                <w:rFonts w:ascii="Times New Roman" w:hAnsi="Times New Roman"/>
                <w:sz w:val="22"/>
                <w:szCs w:val="22"/>
              </w:rPr>
              <w:t xml:space="preserve">, рассчитанные в </w:t>
            </w:r>
            <w:r w:rsidR="00111430" w:rsidRPr="0000630D">
              <w:rPr>
                <w:rFonts w:ascii="Times New Roman" w:hAnsi="Times New Roman"/>
                <w:sz w:val="22"/>
                <w:szCs w:val="22"/>
                <w:lang w:val="en-US"/>
              </w:rPr>
              <w:t>NCSM</w:t>
            </w:r>
            <w:r w:rsidRPr="0000630D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Pr="0000630D">
              <w:rPr>
                <w:rFonts w:ascii="Times New Roman" w:hAnsi="Times New Roman"/>
                <w:i/>
                <w:iCs/>
                <w:sz w:val="22"/>
                <w:szCs w:val="22"/>
              </w:rPr>
              <w:t>NN</w:t>
            </w:r>
            <w:r w:rsidRPr="0000630D">
              <w:rPr>
                <w:rFonts w:ascii="Times New Roman" w:hAnsi="Times New Roman"/>
                <w:sz w:val="22"/>
                <w:szCs w:val="22"/>
              </w:rPr>
              <w:t xml:space="preserve">- взаимодействием Daejeon16. Справа: сдвиги фаз истинного </w:t>
            </w:r>
            <w:proofErr w:type="spellStart"/>
            <w:r w:rsidRPr="0000630D">
              <w:rPr>
                <w:rFonts w:ascii="Times New Roman" w:hAnsi="Times New Roman"/>
                <w:sz w:val="22"/>
                <w:szCs w:val="22"/>
              </w:rPr>
              <w:t>многочастичного</w:t>
            </w:r>
            <w:proofErr w:type="spellEnd"/>
            <w:r w:rsidRPr="000063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630D">
              <w:rPr>
                <w:rFonts w:ascii="Times New Roman" w:hAnsi="Times New Roman"/>
                <w:sz w:val="22"/>
                <w:szCs w:val="22"/>
              </w:rPr>
              <w:t>рассения</w:t>
            </w:r>
            <w:proofErr w:type="spellEnd"/>
            <w:r w:rsidR="0000630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3D2C2217" w14:textId="77777777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2"/>
          <w:szCs w:val="22"/>
        </w:rPr>
      </w:pPr>
    </w:p>
    <w:p w14:paraId="44977E9D" w14:textId="487A10BC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В методе SS-HORSE–NCSM на основе расчетов в модели оболочек без инертного кора с реалистическими NN-взаимодействиями JISP16, Daejeon16 и с SRG-смягченным NN-взаимодействием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киральной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эффективной теории поля Idaho N3LO исследованы резонансные состояния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. </w:t>
      </w:r>
      <w:r w:rsidR="00966483" w:rsidRPr="0000630D">
        <w:rPr>
          <w:rFonts w:ascii="Times New Roman" w:hAnsi="Times New Roman" w:cs="Times New Roman"/>
          <w:sz w:val="22"/>
          <w:szCs w:val="22"/>
        </w:rPr>
        <w:t>Т</w:t>
      </w:r>
      <w:r w:rsidRPr="0000630D">
        <w:rPr>
          <w:rFonts w:ascii="Times New Roman" w:hAnsi="Times New Roman" w:cs="Times New Roman"/>
          <w:sz w:val="22"/>
          <w:szCs w:val="22"/>
        </w:rPr>
        <w:t xml:space="preserve">акже была исследована возможность существования низколежащих резонансов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в расчетах с «жесткими» исходными NN-потенциалами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киральной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эффективной теории поля.</w:t>
      </w:r>
    </w:p>
    <w:p w14:paraId="02E123CE" w14:textId="75F3548D" w:rsidR="00533945" w:rsidRPr="0000630D" w:rsidRDefault="00533945" w:rsidP="0000630D">
      <w:pPr>
        <w:autoSpaceDE w:val="0"/>
        <w:autoSpaceDN w:val="0"/>
        <w:adjustRightInd w:val="0"/>
        <w:spacing w:after="0" w:line="30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ab/>
        <w:t>Для всех “мягких” взаимодействий мы получили примерно одинаковые результаты, заключающиеся в наличии двух широких (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Γ∼0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9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МэВ) перекрывающихся низколежащих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3/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-</m:t>
            </m:r>
          </m:sup>
        </m:sSup>
      </m:oMath>
      <w:r w:rsidRPr="0000630D">
        <w:rPr>
          <w:rFonts w:ascii="Times New Roman" w:hAnsi="Times New Roman" w:cs="Times New Roman"/>
          <w:sz w:val="22"/>
          <w:szCs w:val="22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1/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-</m:t>
            </m:r>
          </m:sup>
        </m:sSup>
      </m:oMath>
      <w:r w:rsidRPr="0000630D">
        <w:rPr>
          <w:rFonts w:ascii="Times New Roman" w:hAnsi="Times New Roman" w:cs="Times New Roman"/>
          <w:sz w:val="22"/>
          <w:szCs w:val="22"/>
        </w:rPr>
        <w:t xml:space="preserve"> резонансов с энергией 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∼0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5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МэВ, в то время как для “жестких” потенциалов низколежащие резонансы не наблюдаются. Мы не использовали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трехнуклонные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силы, так как на данный момент такого взаимодействия для суммарного изоспина  </w:t>
      </w:r>
      <m:oMath>
        <m:r>
          <w:rPr>
            <w:rFonts w:ascii="Cambria Math" w:hAnsi="Cambria Math" w:cs="Times New Roman"/>
            <w:sz w:val="22"/>
            <w:szCs w:val="22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=3/2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не существует. В этом смысле использование NN-взаимодействия Daejeon16 является более оправданным в силу того, что это взаимодействие основано на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киральной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эффективной теории поля и с помощью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off-shell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вариаций подогнано для хорошего описания стабильных состояний ядер вплоть до </w:t>
      </w:r>
      <w:r w:rsidRPr="0000630D">
        <w:rPr>
          <w:rFonts w:ascii="Times New Roman" w:hAnsi="Times New Roman" w:cs="Times New Roman"/>
          <w:sz w:val="22"/>
          <w:szCs w:val="22"/>
          <w:vertAlign w:val="superscript"/>
        </w:rPr>
        <w:t>16</w:t>
      </w:r>
      <w:r w:rsidRPr="0000630D">
        <w:rPr>
          <w:rFonts w:ascii="Times New Roman" w:hAnsi="Times New Roman" w:cs="Times New Roman"/>
          <w:sz w:val="22"/>
          <w:szCs w:val="22"/>
        </w:rPr>
        <w:t xml:space="preserve">O и неявно содержит в себе NNN-силы. Потенциал JISP16, который также не требует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трехчастичных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сил, дает результаты очень близкие к результатам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регуляризованного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с помощью SRG взаимодействия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Idaho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N3LO.</w:t>
      </w:r>
    </w:p>
    <w:p w14:paraId="1227565A" w14:textId="06B205E8" w:rsidR="00533945" w:rsidRPr="0000630D" w:rsidRDefault="00533945" w:rsidP="0045729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Энергии резонансов, полученных для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, лежат ниже энергий резонанса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, предсказанного нами в подходе SS-HORSE–NCSM, что согласуются с выводами, полученными на основе результатов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гамовской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модели оболочек без инертного кора. </w:t>
      </w:r>
    </w:p>
    <w:p w14:paraId="4B9D74EA" w14:textId="14B8C8ED" w:rsidR="00533945" w:rsidRPr="0000630D" w:rsidRDefault="00533945" w:rsidP="0045729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Наши вычисления приводят к меньшей энергии, чем предсказания других авторов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гамовской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модели без инертного кора 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=1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11(21)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МэВ)</w:t>
      </w:r>
      <w:r w:rsidR="00457291">
        <w:rPr>
          <w:rFonts w:ascii="Times New Roman" w:hAnsi="Times New Roman" w:cs="Times New Roman"/>
          <w:sz w:val="22"/>
          <w:szCs w:val="22"/>
        </w:rPr>
        <w:t xml:space="preserve"> (табл.)</w:t>
      </w:r>
      <w:r w:rsidRPr="0000630D">
        <w:rPr>
          <w:rFonts w:ascii="Times New Roman" w:hAnsi="Times New Roman" w:cs="Times New Roman"/>
          <w:sz w:val="22"/>
          <w:szCs w:val="22"/>
        </w:rPr>
        <w:t xml:space="preserve">. В то же время ширина, полученная нами с взаимодействием Daejeon16, с учетом оценок погрешности результатов, согласуется с шириной в этом подходе: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Γ=0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91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МэВ. Подчеркнем, что в этой работе не указана спин-четность резонансного состояния.</w:t>
      </w:r>
    </w:p>
    <w:p w14:paraId="2FAF1F7B" w14:textId="3A6C08F2" w:rsidR="0000630D" w:rsidRPr="0000630D" w:rsidRDefault="00111430" w:rsidP="000063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7291">
        <w:rPr>
          <w:rFonts w:ascii="Times New Roman" w:hAnsi="Times New Roman" w:cs="Times New Roman"/>
          <w:b/>
          <w:spacing w:val="-4"/>
          <w:sz w:val="22"/>
          <w:szCs w:val="22"/>
        </w:rPr>
        <w:t xml:space="preserve">Энергии </w:t>
      </w:r>
      <m:oMath>
        <m:sSub>
          <m:sSubPr>
            <m:ctrlPr>
              <w:rPr>
                <w:rFonts w:ascii="Cambria Math" w:hAnsi="Cambria Math" w:cs="Times New Roman"/>
                <w:b/>
                <w:spacing w:val="-4"/>
                <w:sz w:val="22"/>
                <w:szCs w:val="22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pacing w:val="-4"/>
                <w:sz w:val="22"/>
                <w:szCs w:val="22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pacing w:val="-4"/>
                <w:sz w:val="22"/>
                <w:szCs w:val="22"/>
              </w:rPr>
              <m:t>r</m:t>
            </m:r>
          </m:sub>
        </m:sSub>
      </m:oMath>
      <w:r w:rsidRPr="00457291">
        <w:rPr>
          <w:rFonts w:ascii="Times New Roman" w:hAnsi="Times New Roman" w:cs="Times New Roman"/>
          <w:b/>
          <w:spacing w:val="-4"/>
          <w:sz w:val="22"/>
          <w:szCs w:val="22"/>
        </w:rPr>
        <w:t xml:space="preserve"> и ширины </w:t>
      </w:r>
      <m:oMath>
        <m:r>
          <m:rPr>
            <m:sty m:val="b"/>
          </m:rPr>
          <w:rPr>
            <w:rFonts w:ascii="Cambria Math" w:hAnsi="Cambria Math" w:cs="Times New Roman"/>
            <w:spacing w:val="-4"/>
            <w:sz w:val="22"/>
            <w:szCs w:val="22"/>
          </w:rPr>
          <m:t>Γ</m:t>
        </m:r>
      </m:oMath>
      <w:r w:rsidRPr="00457291">
        <w:rPr>
          <w:rFonts w:ascii="Times New Roman" w:hAnsi="Times New Roman" w:cs="Times New Roman"/>
          <w:b/>
          <w:spacing w:val="-4"/>
          <w:sz w:val="22"/>
          <w:szCs w:val="22"/>
        </w:rPr>
        <w:t xml:space="preserve"> резонансных состояний тринейтрона и тетранейтрона, полученные в SS-HORSE–NCSM на основе “мягких” реалистических взаимодействий Daejeon16 [1</w:t>
      </w:r>
      <w:r w:rsidR="00966483" w:rsidRPr="00457291">
        <w:rPr>
          <w:rFonts w:ascii="Times New Roman" w:hAnsi="Times New Roman" w:cs="Times New Roman"/>
          <w:b/>
          <w:spacing w:val="-4"/>
          <w:sz w:val="22"/>
          <w:szCs w:val="22"/>
        </w:rPr>
        <w:t>0</w:t>
      </w:r>
      <w:r w:rsidRPr="00457291">
        <w:rPr>
          <w:rFonts w:ascii="Times New Roman" w:hAnsi="Times New Roman" w:cs="Times New Roman"/>
          <w:b/>
          <w:spacing w:val="-4"/>
          <w:sz w:val="22"/>
          <w:szCs w:val="22"/>
        </w:rPr>
        <w:t>], JISP16 [</w:t>
      </w:r>
      <w:r w:rsidR="00966483" w:rsidRPr="00457291">
        <w:rPr>
          <w:rFonts w:ascii="Times New Roman" w:hAnsi="Times New Roman" w:cs="Times New Roman"/>
          <w:b/>
          <w:spacing w:val="-4"/>
          <w:sz w:val="22"/>
          <w:szCs w:val="22"/>
        </w:rPr>
        <w:t>9</w:t>
      </w:r>
      <w:r w:rsidRPr="00457291">
        <w:rPr>
          <w:rFonts w:ascii="Times New Roman" w:hAnsi="Times New Roman" w:cs="Times New Roman"/>
          <w:b/>
          <w:spacing w:val="-4"/>
          <w:sz w:val="22"/>
          <w:szCs w:val="22"/>
        </w:rPr>
        <w:t>]</w:t>
      </w:r>
      <w:r w:rsidRPr="0000630D">
        <w:rPr>
          <w:rFonts w:ascii="Times New Roman" w:hAnsi="Times New Roman" w:cs="Times New Roman"/>
          <w:b/>
          <w:sz w:val="22"/>
          <w:szCs w:val="22"/>
        </w:rPr>
        <w:t xml:space="preserve"> и с </w:t>
      </w:r>
      <w:proofErr w:type="spellStart"/>
      <w:r w:rsidRPr="0000630D">
        <w:rPr>
          <w:rFonts w:ascii="Times New Roman" w:hAnsi="Times New Roman" w:cs="Times New Roman"/>
          <w:b/>
          <w:sz w:val="22"/>
          <w:szCs w:val="22"/>
        </w:rPr>
        <w:t>регуляризованным</w:t>
      </w:r>
      <w:proofErr w:type="spellEnd"/>
      <w:r w:rsidRPr="0000630D">
        <w:rPr>
          <w:rFonts w:ascii="Times New Roman" w:hAnsi="Times New Roman" w:cs="Times New Roman"/>
          <w:b/>
          <w:sz w:val="22"/>
          <w:szCs w:val="22"/>
        </w:rPr>
        <w:t xml:space="preserve"> с помощью SRG [</w:t>
      </w:r>
      <w:r w:rsidR="00966483" w:rsidRPr="0000630D">
        <w:rPr>
          <w:rFonts w:ascii="Times New Roman" w:hAnsi="Times New Roman" w:cs="Times New Roman"/>
          <w:b/>
          <w:sz w:val="22"/>
          <w:szCs w:val="22"/>
        </w:rPr>
        <w:t>21</w:t>
      </w:r>
      <w:r w:rsidRPr="0000630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66483" w:rsidRPr="0000630D">
        <w:rPr>
          <w:rFonts w:ascii="Times New Roman" w:hAnsi="Times New Roman" w:cs="Times New Roman"/>
          <w:b/>
          <w:sz w:val="22"/>
          <w:szCs w:val="22"/>
        </w:rPr>
        <w:t>22</w:t>
      </w:r>
      <w:r w:rsidRPr="0000630D">
        <w:rPr>
          <w:rFonts w:ascii="Times New Roman" w:hAnsi="Times New Roman" w:cs="Times New Roman"/>
          <w:b/>
          <w:sz w:val="22"/>
          <w:szCs w:val="22"/>
        </w:rPr>
        <w:t xml:space="preserve">] взаимодействием </w:t>
      </w:r>
      <w:proofErr w:type="spellStart"/>
      <w:r w:rsidRPr="0000630D">
        <w:rPr>
          <w:rFonts w:ascii="Times New Roman" w:hAnsi="Times New Roman" w:cs="Times New Roman"/>
          <w:b/>
          <w:sz w:val="22"/>
          <w:szCs w:val="22"/>
        </w:rPr>
        <w:t>Idaho</w:t>
      </w:r>
      <w:proofErr w:type="spellEnd"/>
      <w:r w:rsidRPr="0000630D">
        <w:rPr>
          <w:rFonts w:ascii="Times New Roman" w:hAnsi="Times New Roman" w:cs="Times New Roman"/>
          <w:b/>
          <w:sz w:val="22"/>
          <w:szCs w:val="22"/>
        </w:rPr>
        <w:t xml:space="preserve"> N</w:t>
      </w:r>
      <w:r w:rsidRPr="0000630D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0630D">
        <w:rPr>
          <w:rFonts w:ascii="Times New Roman" w:hAnsi="Times New Roman" w:cs="Times New Roman"/>
          <w:b/>
          <w:sz w:val="22"/>
          <w:szCs w:val="22"/>
        </w:rPr>
        <w:t>LO [</w:t>
      </w:r>
      <w:r w:rsidR="00966483" w:rsidRPr="0000630D">
        <w:rPr>
          <w:rFonts w:ascii="Times New Roman" w:hAnsi="Times New Roman" w:cs="Times New Roman"/>
          <w:b/>
          <w:sz w:val="22"/>
          <w:szCs w:val="22"/>
        </w:rPr>
        <w:t>20</w:t>
      </w:r>
      <w:r w:rsidRPr="0000630D">
        <w:rPr>
          <w:rFonts w:ascii="Times New Roman" w:hAnsi="Times New Roman" w:cs="Times New Roman"/>
          <w:b/>
          <w:sz w:val="22"/>
          <w:szCs w:val="22"/>
        </w:rPr>
        <w:t>].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161"/>
        <w:gridCol w:w="1176"/>
        <w:gridCol w:w="1176"/>
        <w:gridCol w:w="1176"/>
        <w:gridCol w:w="1450"/>
        <w:gridCol w:w="1450"/>
      </w:tblGrid>
      <w:tr w:rsidR="00111430" w:rsidRPr="0000630D" w14:paraId="3EF7B7CC" w14:textId="77777777" w:rsidTr="00FD6629">
        <w:trPr>
          <w:jc w:val="center"/>
        </w:trPr>
        <w:tc>
          <w:tcPr>
            <w:tcW w:w="1756" w:type="dxa"/>
          </w:tcPr>
          <w:p w14:paraId="0A17E85B" w14:textId="77777777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2337" w:type="dxa"/>
            <w:gridSpan w:val="2"/>
          </w:tcPr>
          <w:p w14:paraId="523996F7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,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3/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52" w:type="dxa"/>
            <w:gridSpan w:val="2"/>
          </w:tcPr>
          <w:p w14:paraId="06616C82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,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1/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900" w:type="dxa"/>
            <w:gridSpan w:val="2"/>
          </w:tcPr>
          <w:p w14:paraId="628C647B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</w:tr>
      <w:tr w:rsidR="00111430" w:rsidRPr="0000630D" w14:paraId="2E14BD34" w14:textId="77777777" w:rsidTr="00FD6629">
        <w:trPr>
          <w:jc w:val="center"/>
        </w:trPr>
        <w:tc>
          <w:tcPr>
            <w:tcW w:w="1756" w:type="dxa"/>
          </w:tcPr>
          <w:p w14:paraId="4052E347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</w:pPr>
            <w:r w:rsidRPr="0000630D">
              <w:rPr>
                <w:rFonts w:ascii="Times New Roman" w:eastAsiaTheme="minorEastAsia" w:hAnsi="Times New Roman"/>
                <w:sz w:val="22"/>
                <w:szCs w:val="22"/>
              </w:rPr>
              <w:t>Взаимодействие</w:t>
            </w:r>
          </w:p>
        </w:tc>
        <w:tc>
          <w:tcPr>
            <w:tcW w:w="1161" w:type="dxa"/>
          </w:tcPr>
          <w:p w14:paraId="46E5F049" w14:textId="77777777" w:rsidR="00111430" w:rsidRPr="0000630D" w:rsidRDefault="00457291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  <w:tc>
          <w:tcPr>
            <w:tcW w:w="1176" w:type="dxa"/>
          </w:tcPr>
          <w:p w14:paraId="7E400405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Γ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  <w:tc>
          <w:tcPr>
            <w:tcW w:w="1176" w:type="dxa"/>
          </w:tcPr>
          <w:p w14:paraId="78E73C68" w14:textId="77777777" w:rsidR="00111430" w:rsidRPr="0000630D" w:rsidRDefault="00457291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  <w:tc>
          <w:tcPr>
            <w:tcW w:w="1176" w:type="dxa"/>
          </w:tcPr>
          <w:p w14:paraId="5A056714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Γ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  <w:tc>
          <w:tcPr>
            <w:tcW w:w="1450" w:type="dxa"/>
          </w:tcPr>
          <w:p w14:paraId="1C504981" w14:textId="77777777" w:rsidR="00111430" w:rsidRPr="0000630D" w:rsidRDefault="00457291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  <w:tc>
          <w:tcPr>
            <w:tcW w:w="1450" w:type="dxa"/>
          </w:tcPr>
          <w:p w14:paraId="4F20882B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Γ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, МэВ</m:t>
                </m:r>
              </m:oMath>
            </m:oMathPara>
          </w:p>
        </w:tc>
      </w:tr>
      <w:tr w:rsidR="00111430" w:rsidRPr="0000630D" w14:paraId="3CB4FDA1" w14:textId="77777777" w:rsidTr="00FD6629">
        <w:trPr>
          <w:jc w:val="center"/>
        </w:trPr>
        <w:tc>
          <w:tcPr>
            <w:tcW w:w="1756" w:type="dxa"/>
          </w:tcPr>
          <w:p w14:paraId="6CAB36B9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00630D">
              <w:rPr>
                <w:rFonts w:ascii="Times New Roman" w:hAnsi="Times New Roman"/>
                <w:sz w:val="22"/>
                <w:szCs w:val="22"/>
              </w:rPr>
              <w:t>Daejeon16</w:t>
            </w:r>
          </w:p>
        </w:tc>
        <w:tc>
          <w:tcPr>
            <w:tcW w:w="1161" w:type="dxa"/>
          </w:tcPr>
          <w:p w14:paraId="7F5F584E" w14:textId="673B542D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48(6)</w:t>
            </w:r>
          </w:p>
        </w:tc>
        <w:tc>
          <w:tcPr>
            <w:tcW w:w="1176" w:type="dxa"/>
          </w:tcPr>
          <w:p w14:paraId="07CBA758" w14:textId="6C190C1D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96(21)</w:t>
            </w:r>
          </w:p>
        </w:tc>
        <w:tc>
          <w:tcPr>
            <w:tcW w:w="1176" w:type="dxa"/>
          </w:tcPr>
          <w:p w14:paraId="2ADF89F3" w14:textId="45D7FCAB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48(8)</w:t>
            </w:r>
          </w:p>
        </w:tc>
        <w:tc>
          <w:tcPr>
            <w:tcW w:w="1176" w:type="dxa"/>
          </w:tcPr>
          <w:p w14:paraId="5CBC04D8" w14:textId="6E1DB877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96(17)</w:t>
            </w:r>
          </w:p>
        </w:tc>
        <w:tc>
          <w:tcPr>
            <w:tcW w:w="1450" w:type="dxa"/>
          </w:tcPr>
          <w:p w14:paraId="3412BCF1" w14:textId="316A17D4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997</w:t>
            </w:r>
          </w:p>
        </w:tc>
        <w:tc>
          <w:tcPr>
            <w:tcW w:w="1450" w:type="dxa"/>
          </w:tcPr>
          <w:p w14:paraId="4DE747A9" w14:textId="2BD93405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1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60</w:t>
            </w:r>
          </w:p>
        </w:tc>
      </w:tr>
      <w:tr w:rsidR="00111430" w:rsidRPr="0000630D" w14:paraId="384A239A" w14:textId="77777777" w:rsidTr="00FD6629">
        <w:trPr>
          <w:jc w:val="center"/>
        </w:trPr>
        <w:tc>
          <w:tcPr>
            <w:tcW w:w="1756" w:type="dxa"/>
          </w:tcPr>
          <w:p w14:paraId="0672DE29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00630D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JISP16</w:t>
            </w:r>
          </w:p>
        </w:tc>
        <w:tc>
          <w:tcPr>
            <w:tcW w:w="1161" w:type="dxa"/>
          </w:tcPr>
          <w:p w14:paraId="7FC1881B" w14:textId="656B94C8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35(8)</w:t>
            </w:r>
          </w:p>
        </w:tc>
        <w:tc>
          <w:tcPr>
            <w:tcW w:w="1176" w:type="dxa"/>
          </w:tcPr>
          <w:p w14:paraId="3E8F835F" w14:textId="559C41F1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70(11)</w:t>
            </w:r>
          </w:p>
        </w:tc>
        <w:tc>
          <w:tcPr>
            <w:tcW w:w="1176" w:type="dxa"/>
          </w:tcPr>
          <w:p w14:paraId="22AFAE41" w14:textId="7E43DA37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35(11)</w:t>
            </w:r>
          </w:p>
        </w:tc>
        <w:tc>
          <w:tcPr>
            <w:tcW w:w="1176" w:type="dxa"/>
          </w:tcPr>
          <w:p w14:paraId="48BCA5D1" w14:textId="35C07CCC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66(21)</w:t>
            </w:r>
          </w:p>
        </w:tc>
        <w:tc>
          <w:tcPr>
            <w:tcW w:w="1450" w:type="dxa"/>
          </w:tcPr>
          <w:p w14:paraId="0832113B" w14:textId="5D866D20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844</w:t>
            </w:r>
          </w:p>
        </w:tc>
        <w:tc>
          <w:tcPr>
            <w:tcW w:w="1450" w:type="dxa"/>
          </w:tcPr>
          <w:p w14:paraId="03CBB0CC" w14:textId="0433FBD3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1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38</w:t>
            </w:r>
          </w:p>
        </w:tc>
      </w:tr>
      <w:tr w:rsidR="00111430" w:rsidRPr="0000630D" w14:paraId="65FB9848" w14:textId="77777777" w:rsidTr="00FD6629">
        <w:trPr>
          <w:jc w:val="center"/>
        </w:trPr>
        <w:tc>
          <w:tcPr>
            <w:tcW w:w="1756" w:type="dxa"/>
          </w:tcPr>
          <w:p w14:paraId="0F44AC35" w14:textId="77777777" w:rsidR="00111430" w:rsidRPr="0000630D" w:rsidRDefault="00111430" w:rsidP="0000630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630D">
              <w:rPr>
                <w:rFonts w:ascii="Times New Roman" w:eastAsiaTheme="minorEastAsia" w:hAnsi="Times New Roman"/>
                <w:sz w:val="22"/>
                <w:szCs w:val="22"/>
              </w:rPr>
              <w:t>N</w:t>
            </w:r>
            <w:r w:rsidRPr="0000630D">
              <w:rPr>
                <w:rFonts w:ascii="Times New Roman" w:eastAsiaTheme="minorEastAsia" w:hAnsi="Times New Roman"/>
                <w:sz w:val="22"/>
                <w:szCs w:val="22"/>
                <w:vertAlign w:val="superscript"/>
              </w:rPr>
              <w:t>3</w:t>
            </w:r>
            <w:r w:rsidRPr="0000630D">
              <w:rPr>
                <w:rFonts w:ascii="Times New Roman" w:eastAsiaTheme="minorEastAsia" w:hAnsi="Times New Roman"/>
                <w:sz w:val="22"/>
                <w:szCs w:val="22"/>
              </w:rPr>
              <w:t>LO, SRG</w:t>
            </w:r>
          </w:p>
        </w:tc>
        <w:tc>
          <w:tcPr>
            <w:tcW w:w="1161" w:type="dxa"/>
          </w:tcPr>
          <w:p w14:paraId="588F17E3" w14:textId="51B193FC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34(8)</w:t>
            </w:r>
          </w:p>
        </w:tc>
        <w:tc>
          <w:tcPr>
            <w:tcW w:w="1176" w:type="dxa"/>
          </w:tcPr>
          <w:p w14:paraId="049446DF" w14:textId="52137F52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70(19)</w:t>
            </w:r>
          </w:p>
        </w:tc>
        <w:tc>
          <w:tcPr>
            <w:tcW w:w="1176" w:type="dxa"/>
          </w:tcPr>
          <w:p w14:paraId="476F7F9A" w14:textId="7B1AA2AD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35(9)</w:t>
            </w:r>
          </w:p>
        </w:tc>
        <w:tc>
          <w:tcPr>
            <w:tcW w:w="1176" w:type="dxa"/>
          </w:tcPr>
          <w:p w14:paraId="1B7EFF54" w14:textId="3BC94204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68(16)</w:t>
            </w:r>
          </w:p>
        </w:tc>
        <w:tc>
          <w:tcPr>
            <w:tcW w:w="1450" w:type="dxa"/>
          </w:tcPr>
          <w:p w14:paraId="7215FED2" w14:textId="0E9A11F3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0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846</w:t>
            </w:r>
          </w:p>
        </w:tc>
        <w:tc>
          <w:tcPr>
            <w:tcW w:w="1450" w:type="dxa"/>
          </w:tcPr>
          <w:p w14:paraId="50DDBF2A" w14:textId="0211AE2C" w:rsidR="00111430" w:rsidRPr="00457291" w:rsidRDefault="00111430" w:rsidP="000063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457291">
              <w:rPr>
                <w:rFonts w:ascii="Times New Roman" w:hAnsi="Times New Roman"/>
              </w:rPr>
              <w:t>1</w:t>
            </w:r>
            <w:r w:rsidR="00457291" w:rsidRPr="00457291">
              <w:rPr>
                <w:rFonts w:ascii="Times New Roman" w:hAnsi="Times New Roman"/>
              </w:rPr>
              <w:t>,</w:t>
            </w:r>
            <w:r w:rsidRPr="00457291">
              <w:rPr>
                <w:rFonts w:ascii="Times New Roman" w:hAnsi="Times New Roman"/>
              </w:rPr>
              <w:t>29</w:t>
            </w:r>
          </w:p>
        </w:tc>
      </w:tr>
    </w:tbl>
    <w:p w14:paraId="2EDD35E3" w14:textId="12D1559F" w:rsidR="00111430" w:rsidRPr="0000630D" w:rsidRDefault="00111430" w:rsidP="0000630D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>В табл</w:t>
      </w:r>
      <w:r w:rsidR="00457291">
        <w:rPr>
          <w:rFonts w:ascii="Times New Roman" w:hAnsi="Times New Roman" w:cs="Times New Roman"/>
          <w:sz w:val="22"/>
          <w:szCs w:val="22"/>
        </w:rPr>
        <w:t>.</w:t>
      </w:r>
      <w:r w:rsidRPr="0000630D">
        <w:rPr>
          <w:rFonts w:ascii="Times New Roman" w:hAnsi="Times New Roman" w:cs="Times New Roman"/>
          <w:sz w:val="22"/>
          <w:szCs w:val="22"/>
        </w:rPr>
        <w:t xml:space="preserve"> </w:t>
      </w:r>
      <w:r w:rsidR="00457291">
        <w:rPr>
          <w:rFonts w:ascii="Times New Roman" w:hAnsi="Times New Roman" w:cs="Times New Roman"/>
          <w:sz w:val="22"/>
          <w:szCs w:val="22"/>
        </w:rPr>
        <w:t>в</w:t>
      </w:r>
      <w:r w:rsidR="0000630D" w:rsidRPr="0000630D">
        <w:rPr>
          <w:rFonts w:ascii="Times New Roman" w:hAnsi="Times New Roman" w:cs="Times New Roman"/>
          <w:sz w:val="22"/>
          <w:szCs w:val="22"/>
        </w:rPr>
        <w:t xml:space="preserve"> скобках приведены оценки погрешности. Результаты взяты из работ [14, 11, 12]. </w:t>
      </w:r>
      <w:r w:rsidR="00457291">
        <w:rPr>
          <w:rFonts w:ascii="Times New Roman" w:hAnsi="Times New Roman" w:cs="Times New Roman"/>
          <w:sz w:val="22"/>
          <w:szCs w:val="22"/>
        </w:rPr>
        <w:t>Т</w:t>
      </w:r>
      <w:r w:rsidRPr="0000630D">
        <w:rPr>
          <w:rFonts w:ascii="Times New Roman" w:hAnsi="Times New Roman" w:cs="Times New Roman"/>
          <w:sz w:val="22"/>
          <w:szCs w:val="22"/>
        </w:rPr>
        <w:t xml:space="preserve">акже </w:t>
      </w:r>
      <w:r w:rsidR="00457291">
        <w:rPr>
          <w:rFonts w:ascii="Times New Roman" w:hAnsi="Times New Roman" w:cs="Times New Roman"/>
          <w:sz w:val="22"/>
          <w:szCs w:val="22"/>
        </w:rPr>
        <w:t xml:space="preserve">в табл. </w:t>
      </w:r>
      <w:r w:rsidRPr="0000630D">
        <w:rPr>
          <w:rFonts w:ascii="Times New Roman" w:hAnsi="Times New Roman" w:cs="Times New Roman"/>
          <w:sz w:val="22"/>
          <w:szCs w:val="22"/>
        </w:rPr>
        <w:t xml:space="preserve">представлены энергии и ширины резонансного состояния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, полученные в SS-HORSE–NCSM с теми же NN-взаимодействиями и опубликованные в работах [</w:t>
      </w:r>
      <w:r w:rsidR="00966483" w:rsidRPr="0000630D">
        <w:rPr>
          <w:rFonts w:ascii="Times New Roman" w:hAnsi="Times New Roman" w:cs="Times New Roman"/>
          <w:sz w:val="22"/>
          <w:szCs w:val="22"/>
        </w:rPr>
        <w:t>11</w:t>
      </w:r>
      <w:r w:rsidRPr="0000630D">
        <w:rPr>
          <w:rFonts w:ascii="Times New Roman" w:hAnsi="Times New Roman" w:cs="Times New Roman"/>
          <w:sz w:val="22"/>
          <w:szCs w:val="22"/>
        </w:rPr>
        <w:t xml:space="preserve">, </w:t>
      </w:r>
      <w:r w:rsidR="00966483" w:rsidRPr="0000630D">
        <w:rPr>
          <w:rFonts w:ascii="Times New Roman" w:hAnsi="Times New Roman" w:cs="Times New Roman"/>
          <w:sz w:val="22"/>
          <w:szCs w:val="22"/>
        </w:rPr>
        <w:t>12</w:t>
      </w:r>
      <w:r w:rsidRPr="0000630D">
        <w:rPr>
          <w:rFonts w:ascii="Times New Roman" w:hAnsi="Times New Roman" w:cs="Times New Roman"/>
          <w:sz w:val="22"/>
          <w:szCs w:val="22"/>
        </w:rPr>
        <w:t xml:space="preserve">]. Видно, что для любого представленного взаимодействия резонанс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тринейтрона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лежит ниже резонанса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, что согласуется с выводами работы [</w:t>
      </w:r>
      <w:r w:rsidR="00966483" w:rsidRPr="0000630D">
        <w:rPr>
          <w:rFonts w:ascii="Times New Roman" w:hAnsi="Times New Roman" w:cs="Times New Roman"/>
          <w:sz w:val="22"/>
          <w:szCs w:val="22"/>
        </w:rPr>
        <w:t>19</w:t>
      </w:r>
      <w:r w:rsidRPr="0000630D">
        <w:rPr>
          <w:rFonts w:ascii="Times New Roman" w:hAnsi="Times New Roman" w:cs="Times New Roman"/>
          <w:sz w:val="22"/>
          <w:szCs w:val="22"/>
        </w:rPr>
        <w:t xml:space="preserve">]. Для сравнения приведем результаты для энергии и ширины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тетранейтронного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работы [</w:t>
      </w:r>
      <w:r w:rsidR="00966483" w:rsidRPr="0000630D">
        <w:rPr>
          <w:rFonts w:ascii="Times New Roman" w:hAnsi="Times New Roman" w:cs="Times New Roman"/>
          <w:sz w:val="22"/>
          <w:szCs w:val="22"/>
        </w:rPr>
        <w:t>19</w:t>
      </w:r>
      <w:r w:rsidRPr="0000630D">
        <w:rPr>
          <w:rFonts w:ascii="Times New Roman" w:hAnsi="Times New Roman" w:cs="Times New Roman"/>
          <w:sz w:val="22"/>
          <w:szCs w:val="22"/>
        </w:rPr>
        <w:t xml:space="preserve">]: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r</m:t>
            </m:r>
          </m:sub>
        </m:sSub>
      </m:oMath>
      <w:r w:rsidRPr="0000630D">
        <w:rPr>
          <w:rFonts w:ascii="Times New Roman" w:hAnsi="Times New Roman" w:cs="Times New Roman"/>
          <w:sz w:val="22"/>
          <w:szCs w:val="22"/>
        </w:rPr>
        <w:t>= 2</w:t>
      </w:r>
      <w:r w:rsidR="00457291">
        <w:rPr>
          <w:rFonts w:ascii="Times New Roman" w:hAnsi="Times New Roman" w:cs="Times New Roman"/>
          <w:sz w:val="22"/>
          <w:szCs w:val="22"/>
        </w:rPr>
        <w:t>,</w:t>
      </w:r>
      <w:r w:rsidRPr="0000630D">
        <w:rPr>
          <w:rFonts w:ascii="Times New Roman" w:hAnsi="Times New Roman" w:cs="Times New Roman"/>
          <w:sz w:val="22"/>
          <w:szCs w:val="22"/>
        </w:rPr>
        <w:t xml:space="preserve">64 МэВ,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Γ</m:t>
        </m:r>
      </m:oMath>
      <w:r w:rsidRPr="0000630D">
        <w:rPr>
          <w:rFonts w:ascii="Times New Roman" w:hAnsi="Times New Roman" w:cs="Times New Roman"/>
          <w:sz w:val="22"/>
          <w:szCs w:val="22"/>
        </w:rPr>
        <w:t xml:space="preserve"> = 2</w:t>
      </w:r>
      <w:r w:rsidR="00457291">
        <w:rPr>
          <w:rFonts w:ascii="Times New Roman" w:hAnsi="Times New Roman" w:cs="Times New Roman"/>
          <w:sz w:val="22"/>
          <w:szCs w:val="22"/>
        </w:rPr>
        <w:t>,</w:t>
      </w:r>
      <w:r w:rsidRPr="0000630D">
        <w:rPr>
          <w:rFonts w:ascii="Times New Roman" w:hAnsi="Times New Roman" w:cs="Times New Roman"/>
          <w:sz w:val="22"/>
          <w:szCs w:val="22"/>
        </w:rPr>
        <w:t xml:space="preserve">38 МэВ. Наши предсказания заметно меньше как для энергии, так и для ширины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тетранейтрона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>.</w:t>
      </w:r>
    </w:p>
    <w:p w14:paraId="776917E2" w14:textId="5D0AAE74" w:rsidR="00111430" w:rsidRPr="0000630D" w:rsidRDefault="00111430" w:rsidP="0000630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630D">
        <w:rPr>
          <w:rFonts w:ascii="Times New Roman" w:hAnsi="Times New Roman" w:cs="Times New Roman"/>
          <w:sz w:val="22"/>
          <w:szCs w:val="22"/>
        </w:rPr>
        <w:t xml:space="preserve">Мы также рассмотрели данную систему с голыми NN-потенциалами, полученных в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киральной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эффективной теории поля: </w:t>
      </w:r>
      <w:proofErr w:type="spellStart"/>
      <w:r w:rsidRPr="0000630D">
        <w:rPr>
          <w:rFonts w:ascii="Times New Roman" w:hAnsi="Times New Roman" w:cs="Times New Roman"/>
          <w:sz w:val="22"/>
          <w:szCs w:val="22"/>
        </w:rPr>
        <w:t>Idaho</w:t>
      </w:r>
      <w:proofErr w:type="spellEnd"/>
      <w:r w:rsidRPr="0000630D">
        <w:rPr>
          <w:rFonts w:ascii="Times New Roman" w:hAnsi="Times New Roman" w:cs="Times New Roman"/>
          <w:sz w:val="22"/>
          <w:szCs w:val="22"/>
        </w:rPr>
        <w:t xml:space="preserve"> N3LO [</w:t>
      </w:r>
      <w:r w:rsidR="0006208D" w:rsidRPr="0000630D">
        <w:rPr>
          <w:rFonts w:ascii="Times New Roman" w:hAnsi="Times New Roman" w:cs="Times New Roman"/>
          <w:sz w:val="22"/>
          <w:szCs w:val="22"/>
        </w:rPr>
        <w:t>20</w:t>
      </w:r>
      <w:r w:rsidRPr="0000630D">
        <w:rPr>
          <w:rFonts w:ascii="Times New Roman" w:hAnsi="Times New Roman" w:cs="Times New Roman"/>
          <w:sz w:val="22"/>
          <w:szCs w:val="22"/>
        </w:rPr>
        <w:t>] и LENPIC N4LO [</w:t>
      </w:r>
      <w:r w:rsidR="0006208D" w:rsidRPr="0000630D">
        <w:rPr>
          <w:rFonts w:ascii="Times New Roman" w:hAnsi="Times New Roman" w:cs="Times New Roman"/>
          <w:sz w:val="22"/>
          <w:szCs w:val="22"/>
        </w:rPr>
        <w:t>23</w:t>
      </w:r>
      <w:r w:rsidRPr="0000630D">
        <w:rPr>
          <w:rFonts w:ascii="Times New Roman" w:hAnsi="Times New Roman" w:cs="Times New Roman"/>
          <w:sz w:val="22"/>
          <w:szCs w:val="22"/>
        </w:rPr>
        <w:t>]. В таких случаях сдвиги фаз истинно демократического рассеяния не демонстрируют тенденции к сходимости, их поведение не отвечает резонансному. Попытки построить разумную параметризацию этих фаз для определения энергии и ширины резонанса не увенчались успехом.</w:t>
      </w:r>
    </w:p>
    <w:p w14:paraId="56800D1B" w14:textId="09839E0D" w:rsidR="001466FD" w:rsidRPr="0000630D" w:rsidRDefault="001466FD" w:rsidP="0000630D">
      <w:pPr>
        <w:spacing w:after="0"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531904" w14:textId="5C56E345" w:rsidR="001466FD" w:rsidRPr="0000630D" w:rsidRDefault="001466FD" w:rsidP="0000630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0630D">
        <w:rPr>
          <w:rFonts w:ascii="Times New Roman" w:hAnsi="Times New Roman" w:cs="Times New Roman"/>
          <w:i/>
          <w:sz w:val="22"/>
          <w:szCs w:val="22"/>
        </w:rPr>
        <w:t>Работа выполнена при поддержке Министерства науки и высшего образования Российской Федерации (проект № FEME-2024-0005).</w:t>
      </w:r>
    </w:p>
    <w:p w14:paraId="2142552B" w14:textId="77777777" w:rsidR="00457291" w:rsidRDefault="00457291" w:rsidP="0000630D">
      <w:pPr>
        <w:shd w:val="clear" w:color="auto" w:fill="FFFFFF"/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</w:pPr>
    </w:p>
    <w:p w14:paraId="75A4C05A" w14:textId="03CE6D43" w:rsidR="00DE18B1" w:rsidRPr="0000630D" w:rsidRDefault="00A025D4" w:rsidP="0000630D">
      <w:pPr>
        <w:shd w:val="clear" w:color="auto" w:fill="FFFFFF"/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</w:pPr>
      <w:r w:rsidRPr="0000630D"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  <w:t>Л И Т Е Р А Т У Р А</w:t>
      </w:r>
    </w:p>
    <w:p w14:paraId="791CC686" w14:textId="77777777" w:rsidR="00543E22" w:rsidRPr="0000630D" w:rsidRDefault="00543E22" w:rsidP="0000630D">
      <w:pPr>
        <w:shd w:val="clear" w:color="auto" w:fill="FFFFFF"/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4"/>
          <w:sz w:val="22"/>
          <w:szCs w:val="22"/>
        </w:rPr>
      </w:pPr>
    </w:p>
    <w:p w14:paraId="2CFEE4D9" w14:textId="36F0ED1A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A. I. Mazur, I. A. Mazur and J. Vary. Shell model states in the continuum // Phys. Rev. C </w:t>
      </w:r>
      <w:r w:rsidR="00111430" w:rsidRPr="00457291">
        <w:rPr>
          <w:rFonts w:ascii="Times New Roman" w:hAnsi="Times New Roman" w:cs="Times New Roman"/>
          <w:sz w:val="20"/>
          <w:szCs w:val="20"/>
        </w:rPr>
        <w:t xml:space="preserve">–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2016. </w:t>
      </w:r>
      <w:r w:rsidR="00111430" w:rsidRPr="00457291">
        <w:rPr>
          <w:rFonts w:ascii="Times New Roman" w:hAnsi="Times New Roman" w:cs="Times New Roman"/>
          <w:sz w:val="20"/>
          <w:szCs w:val="20"/>
        </w:rPr>
        <w:t>–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Vol. 94. </w:t>
      </w:r>
      <w:r w:rsidR="00111430" w:rsidRPr="00457291">
        <w:rPr>
          <w:rFonts w:ascii="Times New Roman" w:hAnsi="Times New Roman" w:cs="Times New Roman"/>
          <w:sz w:val="20"/>
          <w:szCs w:val="20"/>
        </w:rPr>
        <w:t>–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Article 064320.</w:t>
      </w:r>
    </w:p>
    <w:p w14:paraId="499E1F7D" w14:textId="38BF7C3C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I. A. Mazur, A. M.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A. I. Mazur, and J. P. Vary. Description of Resonant States in the Shell Model // Phys. Part.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Nucl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– 2017. – Vol.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48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–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P. 84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22AE343" w14:textId="73B36709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r w:rsidR="00111430" w:rsidRPr="00457291">
        <w:rPr>
          <w:rFonts w:ascii="Times New Roman" w:hAnsi="Times New Roman" w:cs="Times New Roman"/>
          <w:sz w:val="20"/>
          <w:szCs w:val="20"/>
        </w:rPr>
        <w:t>Л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Д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Блохинцев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1430" w:rsidRPr="00457291">
        <w:rPr>
          <w:rFonts w:ascii="Times New Roman" w:hAnsi="Times New Roman" w:cs="Times New Roman"/>
          <w:sz w:val="20"/>
          <w:szCs w:val="20"/>
        </w:rPr>
        <w:t>А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И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Мазур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1430" w:rsidRPr="00457291">
        <w:rPr>
          <w:rFonts w:ascii="Times New Roman" w:hAnsi="Times New Roman" w:cs="Times New Roman"/>
          <w:sz w:val="20"/>
          <w:szCs w:val="20"/>
        </w:rPr>
        <w:t>И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А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Мазур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1430" w:rsidRPr="00457291">
        <w:rPr>
          <w:rFonts w:ascii="Times New Roman" w:hAnsi="Times New Roman" w:cs="Times New Roman"/>
          <w:sz w:val="20"/>
          <w:szCs w:val="20"/>
        </w:rPr>
        <w:t>Д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А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Савин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1430" w:rsidRPr="00457291">
        <w:rPr>
          <w:rFonts w:ascii="Times New Roman" w:hAnsi="Times New Roman" w:cs="Times New Roman"/>
          <w:sz w:val="20"/>
          <w:szCs w:val="20"/>
        </w:rPr>
        <w:t>А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М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</w:rPr>
        <w:t>Широков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430" w:rsidRPr="00457291">
        <w:rPr>
          <w:rFonts w:ascii="Times New Roman" w:hAnsi="Times New Roman" w:cs="Times New Roman"/>
          <w:sz w:val="20"/>
          <w:szCs w:val="20"/>
        </w:rPr>
        <w:t>Метод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SS-HORSE </w:t>
      </w:r>
      <w:r w:rsidR="00111430" w:rsidRPr="00457291">
        <w:rPr>
          <w:rFonts w:ascii="Times New Roman" w:hAnsi="Times New Roman" w:cs="Times New Roman"/>
          <w:sz w:val="20"/>
          <w:szCs w:val="20"/>
        </w:rPr>
        <w:t>исследования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430" w:rsidRPr="00457291">
        <w:rPr>
          <w:rFonts w:ascii="Times New Roman" w:hAnsi="Times New Roman" w:cs="Times New Roman"/>
          <w:sz w:val="20"/>
          <w:szCs w:val="20"/>
        </w:rPr>
        <w:t>резонансов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430" w:rsidRPr="00457291">
        <w:rPr>
          <w:rFonts w:ascii="Times New Roman" w:hAnsi="Times New Roman" w:cs="Times New Roman"/>
          <w:sz w:val="20"/>
          <w:szCs w:val="20"/>
        </w:rPr>
        <w:t>ЯФ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– 2017. – Vol. 80(2). – P. 102. </w:t>
      </w:r>
    </w:p>
    <w:p w14:paraId="525D6DE9" w14:textId="1F0EB8C2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11430" w:rsidRPr="00457291">
        <w:rPr>
          <w:rFonts w:ascii="Times New Roman" w:hAnsi="Times New Roman" w:cs="Times New Roman"/>
          <w:sz w:val="20"/>
          <w:szCs w:val="20"/>
        </w:rPr>
        <w:t>Л. Д. Блохинцев, А. И. Мазур, И. А. Мазур, Д. А. Савин, А. М. Широков</w:t>
      </w:r>
      <w:r w:rsidR="00AE77E2" w:rsidRPr="00457291">
        <w:rPr>
          <w:rFonts w:ascii="Times New Roman" w:hAnsi="Times New Roman" w:cs="Times New Roman"/>
          <w:sz w:val="20"/>
          <w:szCs w:val="20"/>
        </w:rPr>
        <w:t>.</w:t>
      </w:r>
      <w:r w:rsidR="00111430" w:rsidRPr="00457291">
        <w:rPr>
          <w:rFonts w:ascii="Times New Roman" w:hAnsi="Times New Roman" w:cs="Times New Roman"/>
          <w:sz w:val="20"/>
          <w:szCs w:val="20"/>
        </w:rPr>
        <w:t xml:space="preserve"> Метод SS-HORSE исследования резонансов: рассеяние заряженных частиц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 //</w:t>
      </w:r>
      <w:r w:rsidR="00111430" w:rsidRPr="00457291">
        <w:rPr>
          <w:rFonts w:ascii="Times New Roman" w:hAnsi="Times New Roman" w:cs="Times New Roman"/>
          <w:sz w:val="20"/>
          <w:szCs w:val="20"/>
        </w:rPr>
        <w:t xml:space="preserve"> ЯФ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 – 2017. –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. 80(6). –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. 619. </w:t>
      </w:r>
      <w:r w:rsidR="00111430" w:rsidRPr="00457291">
        <w:rPr>
          <w:rFonts w:ascii="Times New Roman" w:hAnsi="Times New Roman" w:cs="Times New Roman"/>
          <w:sz w:val="20"/>
          <w:szCs w:val="20"/>
        </w:rPr>
        <w:t xml:space="preserve"> 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54E650D" w14:textId="3ECE9BDC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A. I. Mazur, I. A. Mazur, E. A. Mazur, I. J. Shin, Y. Kim, L. D.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Blokhintsev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, and J. P. Vary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Nucleon-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α</m:t>
        </m:r>
      </m:oMath>
      <w:r w:rsidR="00AE77E2" w:rsidRPr="0045729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scattering and resonances in </w:t>
      </w:r>
      <w:r w:rsidR="00111430" w:rsidRPr="0045729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He and </w:t>
      </w:r>
      <w:r w:rsidR="00111430" w:rsidRPr="0045729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Li with JISP16 and Daejeon16 NN interactions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Phys. Rev. C – 2018. – Vol. 98. – Article 044624. </w:t>
      </w:r>
    </w:p>
    <w:p w14:paraId="0B8782A9" w14:textId="0D659FF5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I. A. Mazur, I. J. Shin, Y. Kim, A. I. Mazur, A. M.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, P. Maris, and J. P. Vary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SS-HORSE extension of the no-core shell model: Application to resonances in </w:t>
      </w:r>
      <w:r w:rsidR="00111430" w:rsidRPr="0045729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7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Phys. Rev</w:t>
      </w:r>
      <w:r w:rsidR="00111430" w:rsidRPr="00457291">
        <w:rPr>
          <w:rFonts w:ascii="Times New Roman" w:hAnsi="Times New Roman" w:cs="Times New Roman"/>
          <w:sz w:val="20"/>
          <w:szCs w:val="20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 2022. –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. 106. – </w:t>
      </w:r>
      <w:r w:rsidR="00AE77E2" w:rsidRPr="00457291"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="00AE77E2" w:rsidRPr="00457291">
        <w:rPr>
          <w:rFonts w:ascii="Times New Roman" w:hAnsi="Times New Roman" w:cs="Times New Roman"/>
          <w:sz w:val="20"/>
          <w:szCs w:val="20"/>
        </w:rPr>
        <w:t xml:space="preserve"> 064320. </w:t>
      </w:r>
    </w:p>
    <w:p w14:paraId="41D1E9B0" w14:textId="579E3B53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7. </w:t>
      </w:r>
      <w:r w:rsidR="00111430"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И. А. Мазур, А. И. Мазур, В. А. Куликов, А. М. Широков, И. Дж. Шин, Я. Ким, П. Марис, Дж. П. </w:t>
      </w:r>
      <w:proofErr w:type="spellStart"/>
      <w:r w:rsidR="00111430" w:rsidRPr="00457291">
        <w:rPr>
          <w:rFonts w:ascii="Times New Roman" w:hAnsi="Times New Roman" w:cs="Times New Roman"/>
          <w:spacing w:val="-4"/>
          <w:sz w:val="20"/>
          <w:szCs w:val="20"/>
        </w:rPr>
        <w:t>Вэри</w:t>
      </w:r>
      <w:proofErr w:type="spellEnd"/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111430" w:rsidRPr="00457291">
        <w:rPr>
          <w:rFonts w:ascii="Times New Roman" w:hAnsi="Times New Roman" w:cs="Times New Roman"/>
          <w:spacing w:val="-4"/>
          <w:sz w:val="20"/>
          <w:szCs w:val="20"/>
        </w:rPr>
        <w:t>Связанные и резонансные состояния ядра 9Li с NN-взаимодействием Daejeon16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>. //</w:t>
      </w:r>
      <w:r w:rsidR="00111430"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ЯФ – 2023. – 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Vol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>. 8</w:t>
      </w:r>
      <w:r w:rsidR="00141550" w:rsidRPr="00457291">
        <w:rPr>
          <w:rFonts w:ascii="Times New Roman" w:hAnsi="Times New Roman" w:cs="Times New Roman"/>
          <w:spacing w:val="-4"/>
          <w:sz w:val="20"/>
          <w:szCs w:val="20"/>
        </w:rPr>
        <w:t>6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>(</w:t>
      </w:r>
      <w:r w:rsidR="00141550" w:rsidRPr="00457291">
        <w:rPr>
          <w:rFonts w:ascii="Times New Roman" w:hAnsi="Times New Roman" w:cs="Times New Roman"/>
          <w:spacing w:val="-4"/>
          <w:sz w:val="20"/>
          <w:szCs w:val="20"/>
        </w:rPr>
        <w:t>1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). – 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P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>. 10</w:t>
      </w:r>
      <w:r w:rsidR="00141550" w:rsidRPr="00457291">
        <w:rPr>
          <w:rFonts w:ascii="Times New Roman" w:hAnsi="Times New Roman" w:cs="Times New Roman"/>
          <w:spacing w:val="-4"/>
          <w:sz w:val="20"/>
          <w:szCs w:val="20"/>
        </w:rPr>
        <w:t>4</w:t>
      </w:r>
      <w:r w:rsidR="00AE77E2" w:rsidRPr="00457291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455AC0F2" w14:textId="2EA97087" w:rsidR="0011143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B. R. Barrett, P.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Navrátil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, and J. P. Vary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Ab initio no core shell model.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Prog. Part.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Nucl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. Phys.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– 2013. – Vol. 69. – P. 131.</w:t>
      </w:r>
    </w:p>
    <w:p w14:paraId="60021DB0" w14:textId="3678AE5E" w:rsidR="0014155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9. 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J. P. Vary, A. I. Mazur, and T. A. Weber. Realistic nuclear Hamiltonian: </w:t>
      </w:r>
      <w:r w:rsidR="00141550" w:rsidRPr="0045729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Ab </w:t>
      </w:r>
      <w:proofErr w:type="spellStart"/>
      <w:r w:rsidR="00141550" w:rsidRPr="00457291">
        <w:rPr>
          <w:rFonts w:ascii="Times New Roman" w:hAnsi="Times New Roman" w:cs="Times New Roman"/>
          <w:i/>
          <w:iCs/>
          <w:sz w:val="20"/>
          <w:szCs w:val="20"/>
          <w:lang w:val="en-US"/>
        </w:rPr>
        <w:t>exitu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approach. // Phys. Lett. B – 2007. – Vol. 644. – P. 33.   </w:t>
      </w:r>
    </w:p>
    <w:p w14:paraId="1EFA7ABA" w14:textId="77E61C99" w:rsidR="0014155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10. 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I. J. Shin, Y. Kim, M.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Sosonkina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P. Maris and J. P. Vary. N3LO NN-interaction adjusted to light nuclei in ab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exitu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approach. // Phys. Lett. B – 2016. – Vol. 761. – P. 87.</w:t>
      </w:r>
    </w:p>
    <w:p w14:paraId="4207C17E" w14:textId="36DF1E32" w:rsidR="0014155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11. 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G. Papadimitriou, A. I. Mazur, I. A. Mazur, R. Roth, and J. P. Vary. Prediction for a Four-Neutron Resonance. // Phys. Rev. Lett. – 2016. – Vol. 117. – Article 182502.     </w:t>
      </w:r>
    </w:p>
    <w:p w14:paraId="3E96C37C" w14:textId="114A0834" w:rsidR="00141550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12. </w:t>
      </w:r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M. </w:t>
      </w:r>
      <w:proofErr w:type="spellStart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41550" w:rsidRPr="00457291">
        <w:rPr>
          <w:rFonts w:ascii="Times New Roman" w:hAnsi="Times New Roman" w:cs="Times New Roman"/>
          <w:sz w:val="20"/>
          <w:szCs w:val="20"/>
          <w:lang w:val="en-US"/>
        </w:rPr>
        <w:t>, Y. Kim, A. I. Mazur, I. A. Mazur, I. J. Shin, and J. P. Vary. Tetraneutron resonance: Theory. // AIP Conf. Proc. – 2018. – Vol. 2038. – Article 020038.</w:t>
      </w:r>
    </w:p>
    <w:p w14:paraId="711BFCFA" w14:textId="2777D807" w:rsidR="00930E3C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Duer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et. al. Observation of a correlated free four-neutron system. // Nature – 2022. – Vol. 606. – P. 678.</w:t>
      </w:r>
    </w:p>
    <w:p w14:paraId="3DECE698" w14:textId="188ED347" w:rsidR="00930E3C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14.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I. A. Mazur, M. K.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Efimenko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A. I. Mazur, I. J. Shin, V. A. Kulikov, A. M.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Shirokov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, J. P. Vary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>Trineutron</w:t>
      </w:r>
      <w:proofErr w:type="spellEnd"/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resonances in the SS-HORSE extension of the No-Core Shell Model.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111430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Phys. Rev. C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– 2024. – Vol. 110. – Article 014004.</w:t>
      </w:r>
    </w:p>
    <w:p w14:paraId="63826853" w14:textId="13139AF1" w:rsidR="00930E3C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R. Kezerashvili. A short summary on the search of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trineutron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and tetraneutron,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br/>
        <w:t xml:space="preserve">in Fission and Properties of Neutron-Rich Nuclei. // World Scientific Publishing Co. Pte. </w:t>
      </w:r>
      <w:proofErr w:type="spellStart"/>
      <w:proofErr w:type="gram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Ltd.,Singapore</w:t>
      </w:r>
      <w:proofErr w:type="spellEnd"/>
      <w:proofErr w:type="gram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, – 2017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– </w:t>
      </w:r>
      <w:proofErr w:type="gram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403; arXiv:1608.00169 (2016).</w:t>
      </w:r>
    </w:p>
    <w:p w14:paraId="70B26B16" w14:textId="2560C7DD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pacing w:val="-4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pacing w:val="-4"/>
          <w:sz w:val="20"/>
          <w:szCs w:val="20"/>
        </w:rPr>
        <w:t xml:space="preserve">16. </w:t>
      </w:r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F.</w:t>
      </w:r>
      <w:r w:rsidR="00FD6629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M. Marques and J. </w:t>
      </w:r>
      <w:proofErr w:type="spellStart"/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Carbonell</w:t>
      </w:r>
      <w:proofErr w:type="spellEnd"/>
      <w:r w:rsidR="00FD6629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.</w:t>
      </w:r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The quest for light </w:t>
      </w:r>
      <w:proofErr w:type="spellStart"/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multineutron</w:t>
      </w:r>
      <w:proofErr w:type="spellEnd"/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systems.</w:t>
      </w:r>
      <w:r w:rsidR="00FD6629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//</w:t>
      </w:r>
      <w:r w:rsidR="00930E3C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Eur. Phys. J. A </w:t>
      </w:r>
      <w:r w:rsidR="00FD6629" w:rsidRPr="00457291">
        <w:rPr>
          <w:rFonts w:ascii="Times New Roman" w:hAnsi="Times New Roman" w:cs="Times New Roman"/>
          <w:spacing w:val="-4"/>
          <w:sz w:val="20"/>
          <w:szCs w:val="20"/>
          <w:lang w:val="en-US"/>
        </w:rPr>
        <w:t>– 2021. – Vol. 57. – P. 105.</w:t>
      </w:r>
    </w:p>
    <w:p w14:paraId="426A29F5" w14:textId="195DCBF7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17.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E.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Hiyama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R.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Lazauskas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Carbonell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Kamimura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Possibility of generating a 4-neutron resonance with a T=3/2 isospin 3-neutron force.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Phys. Rev. C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– 2016. – Vol. 93. – Article 044004.</w:t>
      </w:r>
    </w:p>
    <w:p w14:paraId="2A43BE46" w14:textId="51F1CF19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A.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Deltuva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Three-neutron resonance study using transition operators. Phys. Rev. C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– 2018. – Vol. 97. – Article 034001.</w:t>
      </w:r>
    </w:p>
    <w:p w14:paraId="2B52C8FB" w14:textId="7FF69FC9" w:rsidR="00930E3C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19. 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J. G. Li, N. Michel, B. S. Hu, W.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Zuo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, and F. R. Xu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Ab initio no-core Gamow shell-model calculations of </w:t>
      </w:r>
      <w:proofErr w:type="spellStart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>multineutron</w:t>
      </w:r>
      <w:proofErr w:type="spellEnd"/>
      <w:r w:rsidR="00930E3C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systems. Phys. Rev. C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– 2019. – Vol. 100. – Article 054313.</w:t>
      </w:r>
    </w:p>
    <w:p w14:paraId="07A275F2" w14:textId="7037BF88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20.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D. R. </w:t>
      </w:r>
      <w:proofErr w:type="spell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Entem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R. </w:t>
      </w:r>
      <w:proofErr w:type="spell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Machleidt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. Accurate charge-dependent nucleon-nucleon potential at fourth order of chiral perturbation theory. // Phys. Rev. C – 2003. – Vol. 68. – Article 041001(R).</w:t>
      </w:r>
    </w:p>
    <w:p w14:paraId="1908920C" w14:textId="3EB4C479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21.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S. D. </w:t>
      </w:r>
      <w:proofErr w:type="spell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Glazek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 and K. G. Wilson. Renormalization of Hamiltonians. // Phys. Rev. D – 1993. – Vol. 48. – P. 5863.</w:t>
      </w:r>
    </w:p>
    <w:p w14:paraId="34C86ED7" w14:textId="519086A9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F. Wegner. Flow-equations for Hamiltonians. // Ann. Phys. (NY) – 1994. – Vol. 506. – P. 77.</w:t>
      </w:r>
    </w:p>
    <w:p w14:paraId="59313AAE" w14:textId="546FDC7D" w:rsidR="00FD6629" w:rsidRPr="00457291" w:rsidRDefault="00457291" w:rsidP="00457291">
      <w:pPr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23. </w:t>
      </w:r>
      <w:bookmarkStart w:id="0" w:name="_GoBack"/>
      <w:bookmarkEnd w:id="0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E. </w:t>
      </w:r>
      <w:proofErr w:type="spell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Epelbaum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, H. Krebs, and U.-G. </w:t>
      </w:r>
      <w:proofErr w:type="spellStart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Meißner</w:t>
      </w:r>
      <w:proofErr w:type="spellEnd"/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 xml:space="preserve">. Precision Nucleon-Nucleon Potential at Fifth Order in the Chiral Expansion.  </w:t>
      </w:r>
      <w:r w:rsidR="00882DDB" w:rsidRPr="00457291">
        <w:rPr>
          <w:rFonts w:ascii="Times New Roman" w:hAnsi="Times New Roman" w:cs="Times New Roman"/>
          <w:sz w:val="20"/>
          <w:szCs w:val="20"/>
        </w:rPr>
        <w:t xml:space="preserve">// </w:t>
      </w:r>
      <w:r w:rsidR="00FD6629" w:rsidRPr="00457291">
        <w:rPr>
          <w:rFonts w:ascii="Times New Roman" w:hAnsi="Times New Roman" w:cs="Times New Roman"/>
          <w:sz w:val="20"/>
          <w:szCs w:val="20"/>
          <w:lang w:val="en-US"/>
        </w:rPr>
        <w:t>Phys. Rev. Lett. – 2015. – Vol. 115. – Article 122301.</w:t>
      </w:r>
    </w:p>
    <w:p w14:paraId="39D19DB0" w14:textId="4AB87386" w:rsidR="00737B91" w:rsidRPr="0000630D" w:rsidRDefault="00737B91" w:rsidP="0000630D">
      <w:pPr>
        <w:spacing w:after="0"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37B91" w:rsidRPr="0000630D" w:rsidSect="00006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B7A"/>
    <w:multiLevelType w:val="hybridMultilevel"/>
    <w:tmpl w:val="304C2164"/>
    <w:lvl w:ilvl="0" w:tplc="84785C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5AD2"/>
    <w:multiLevelType w:val="hybridMultilevel"/>
    <w:tmpl w:val="275A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A42CC"/>
    <w:multiLevelType w:val="hybridMultilevel"/>
    <w:tmpl w:val="C2861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E8"/>
    <w:rsid w:val="0000630D"/>
    <w:rsid w:val="00054879"/>
    <w:rsid w:val="0006208D"/>
    <w:rsid w:val="000E48E7"/>
    <w:rsid w:val="00111430"/>
    <w:rsid w:val="00141550"/>
    <w:rsid w:val="001466FD"/>
    <w:rsid w:val="00196ACE"/>
    <w:rsid w:val="001F4260"/>
    <w:rsid w:val="00223F7D"/>
    <w:rsid w:val="002668BB"/>
    <w:rsid w:val="002A6C36"/>
    <w:rsid w:val="00321C5F"/>
    <w:rsid w:val="00343E99"/>
    <w:rsid w:val="003C05CB"/>
    <w:rsid w:val="00427CB9"/>
    <w:rsid w:val="00450A66"/>
    <w:rsid w:val="00457291"/>
    <w:rsid w:val="00533945"/>
    <w:rsid w:val="00543E22"/>
    <w:rsid w:val="006669CE"/>
    <w:rsid w:val="00676784"/>
    <w:rsid w:val="0071595D"/>
    <w:rsid w:val="00737B91"/>
    <w:rsid w:val="007D3CA2"/>
    <w:rsid w:val="00882DDB"/>
    <w:rsid w:val="008E00C2"/>
    <w:rsid w:val="00930E3C"/>
    <w:rsid w:val="00966483"/>
    <w:rsid w:val="009C3A9B"/>
    <w:rsid w:val="00A025D4"/>
    <w:rsid w:val="00A20749"/>
    <w:rsid w:val="00A6234E"/>
    <w:rsid w:val="00A90EE8"/>
    <w:rsid w:val="00AD18D5"/>
    <w:rsid w:val="00AE77E2"/>
    <w:rsid w:val="00B261BA"/>
    <w:rsid w:val="00CB171F"/>
    <w:rsid w:val="00CF1B1B"/>
    <w:rsid w:val="00DE18B1"/>
    <w:rsid w:val="00E80093"/>
    <w:rsid w:val="00F25366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8D4D"/>
  <w15:chartTrackingRefBased/>
  <w15:docId w15:val="{02730C1E-42F8-4745-95A9-17D3EFA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E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E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E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E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E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E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E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E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E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E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EE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25D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25D4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50A66"/>
    <w:rPr>
      <w:color w:val="666666"/>
    </w:rPr>
  </w:style>
  <w:style w:type="table" w:styleId="af">
    <w:name w:val="Table Grid"/>
    <w:basedOn w:val="a1"/>
    <w:uiPriority w:val="39"/>
    <w:rsid w:val="0053394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Sharypov</dc:creator>
  <cp:keywords/>
  <dc:description/>
  <cp:lastModifiedBy>User</cp:lastModifiedBy>
  <cp:revision>17</cp:revision>
  <dcterms:created xsi:type="dcterms:W3CDTF">2025-08-10T09:31:00Z</dcterms:created>
  <dcterms:modified xsi:type="dcterms:W3CDTF">2025-08-19T23:43:00Z</dcterms:modified>
</cp:coreProperties>
</file>