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33481" w:rsidRPr="009F7F7C" w:rsidRDefault="00207F95" w:rsidP="009F7F7C">
      <w:pPr>
        <w:suppressAutoHyphens w:val="0"/>
        <w:overflowPunct w:val="0"/>
        <w:spacing w:line="300" w:lineRule="auto"/>
        <w:rPr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>УДК</w:t>
      </w:r>
      <w:hyperlink r:id="rId6" w:tgtFrame="_blank">
        <w:r w:rsidRPr="009F7F7C">
          <w:rPr>
            <w:rFonts w:ascii="Times New Roman" w:hAnsi="Times New Roman" w:cs="Times New Roman"/>
            <w:sz w:val="22"/>
            <w:szCs w:val="22"/>
          </w:rPr>
          <w:t xml:space="preserve"> </w:t>
        </w:r>
      </w:hyperlink>
      <w:r w:rsidRPr="009F7F7C">
        <w:rPr>
          <w:rStyle w:val="a3"/>
          <w:rFonts w:ascii="Times New Roman" w:hAnsi="Times New Roman" w:cs="Times New Roman"/>
          <w:b w:val="0"/>
          <w:bCs w:val="0"/>
          <w:sz w:val="22"/>
          <w:szCs w:val="22"/>
        </w:rPr>
        <w:t>550.34</w:t>
      </w:r>
    </w:p>
    <w:p w:rsidR="00B33481" w:rsidRPr="009F7F7C" w:rsidRDefault="00B33481" w:rsidP="009F7F7C">
      <w:pPr>
        <w:suppressAutoHyphens w:val="0"/>
        <w:overflowPunct w:val="0"/>
        <w:spacing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B33481" w:rsidRPr="009F7F7C" w:rsidRDefault="00207F95" w:rsidP="009F7F7C">
      <w:pPr>
        <w:pStyle w:val="22"/>
        <w:suppressAutoHyphens w:val="0"/>
        <w:overflowPunct w:val="0"/>
        <w:spacing w:line="30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СЕЙСМОРЕГИСТРАТОР ДЛЯ ИЗМЕРИТЕЛЬНОГО КОМПЛЕКСА «СЕЙСМО-ПРО» </w:t>
      </w:r>
    </w:p>
    <w:p w:rsidR="00B33481" w:rsidRPr="009F7F7C" w:rsidRDefault="00B33481" w:rsidP="009F7F7C">
      <w:pPr>
        <w:suppressAutoHyphens w:val="0"/>
        <w:overflowPunct w:val="0"/>
        <w:spacing w:line="300" w:lineRule="auto"/>
        <w:jc w:val="both"/>
        <w:rPr>
          <w:rFonts w:ascii="Times New Roman" w:hAnsi="Times New Roman" w:cs="Times New Roman"/>
          <w:sz w:val="22"/>
          <w:szCs w:val="22"/>
        </w:rPr>
      </w:pPr>
    </w:p>
    <w:p w:rsidR="00B33481" w:rsidRPr="009F7F7C" w:rsidRDefault="00207F95" w:rsidP="009F7F7C">
      <w:pPr>
        <w:suppressAutoHyphens w:val="0"/>
        <w:overflowPunct w:val="0"/>
        <w:spacing w:line="300" w:lineRule="auto"/>
        <w:jc w:val="center"/>
        <w:rPr>
          <w:rFonts w:ascii="Times New Roman" w:hAnsi="Times New Roman"/>
          <w:sz w:val="22"/>
          <w:szCs w:val="22"/>
        </w:rPr>
      </w:pPr>
      <w:r w:rsidRPr="009F7F7C">
        <w:rPr>
          <w:rFonts w:ascii="Times New Roman" w:hAnsi="Times New Roman"/>
          <w:b/>
          <w:bCs/>
          <w:sz w:val="22"/>
          <w:szCs w:val="22"/>
          <w:u w:val="single"/>
        </w:rPr>
        <w:t>С. В. Губин,</w:t>
      </w:r>
      <w:r w:rsidRPr="009F7F7C">
        <w:rPr>
          <w:rFonts w:ascii="Times New Roman" w:hAnsi="Times New Roman"/>
          <w:b/>
          <w:bCs/>
          <w:sz w:val="22"/>
          <w:szCs w:val="22"/>
        </w:rPr>
        <w:t xml:space="preserve"> В. В. Насыров, К. С. Рябинкин</w:t>
      </w:r>
    </w:p>
    <w:p w:rsidR="00B33481" w:rsidRPr="009F7F7C" w:rsidRDefault="00207F95" w:rsidP="009F7F7C">
      <w:pPr>
        <w:suppressAutoHyphens w:val="0"/>
        <w:overflowPunct w:val="0"/>
        <w:spacing w:line="300" w:lineRule="auto"/>
        <w:jc w:val="center"/>
        <w:rPr>
          <w:rFonts w:ascii="Times New Roman" w:hAnsi="Times New Roman"/>
          <w:i/>
          <w:iCs/>
          <w:sz w:val="22"/>
          <w:szCs w:val="22"/>
        </w:rPr>
      </w:pPr>
      <w:r w:rsidRPr="009F7F7C">
        <w:rPr>
          <w:rFonts w:ascii="Times New Roman" w:hAnsi="Times New Roman"/>
          <w:i/>
          <w:iCs/>
          <w:sz w:val="22"/>
          <w:szCs w:val="22"/>
        </w:rPr>
        <w:t>Тихоокеанский государственный университет (г. Хабаровск)</w:t>
      </w:r>
    </w:p>
    <w:p w:rsidR="00B33481" w:rsidRPr="009F7F7C" w:rsidRDefault="00207F95" w:rsidP="009F7F7C">
      <w:pPr>
        <w:pStyle w:val="docdata"/>
        <w:widowControl w:val="0"/>
        <w:shd w:val="clear" w:color="auto" w:fill="FFFFFF"/>
        <w:suppressAutoHyphens w:val="0"/>
        <w:spacing w:before="0" w:after="0" w:line="300" w:lineRule="auto"/>
        <w:jc w:val="center"/>
        <w:rPr>
          <w:i/>
          <w:iCs/>
          <w:sz w:val="22"/>
          <w:szCs w:val="22"/>
        </w:rPr>
      </w:pPr>
      <w:r w:rsidRPr="009F7F7C">
        <w:rPr>
          <w:i/>
          <w:iCs/>
          <w:sz w:val="22"/>
          <w:szCs w:val="22"/>
        </w:rPr>
        <w:t>maraul@inbox.ru</w:t>
      </w:r>
    </w:p>
    <w:p w:rsidR="00B33481" w:rsidRPr="009F7F7C" w:rsidRDefault="00B33481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B33481" w:rsidRPr="009F7F7C" w:rsidRDefault="00207F95" w:rsidP="009F7F7C">
      <w:pPr>
        <w:pStyle w:val="32"/>
        <w:suppressAutoHyphens w:val="0"/>
        <w:spacing w:line="300" w:lineRule="auto"/>
        <w:ind w:right="-1" w:firstLine="709"/>
        <w:rPr>
          <w:rFonts w:ascii="Times New Roman" w:hAnsi="Times New Roman" w:cs="Times New Roman"/>
          <w:i/>
          <w:iCs/>
        </w:rPr>
      </w:pPr>
      <w:r w:rsidRPr="009F7F7C">
        <w:rPr>
          <w:rFonts w:ascii="Times New Roman" w:hAnsi="Times New Roman" w:cs="Times New Roman"/>
          <w:i/>
          <w:iCs/>
        </w:rPr>
        <w:t xml:space="preserve">Описывается разработанный трёхканальный </w:t>
      </w:r>
      <w:proofErr w:type="spellStart"/>
      <w:r w:rsidRPr="009F7F7C">
        <w:rPr>
          <w:rFonts w:ascii="Times New Roman" w:hAnsi="Times New Roman" w:cs="Times New Roman"/>
          <w:i/>
          <w:iCs/>
        </w:rPr>
        <w:t>сейсморегистратор</w:t>
      </w:r>
      <w:proofErr w:type="spellEnd"/>
      <w:r w:rsidRPr="009F7F7C">
        <w:rPr>
          <w:rFonts w:ascii="Times New Roman" w:hAnsi="Times New Roman" w:cs="Times New Roman"/>
          <w:i/>
          <w:iCs/>
        </w:rPr>
        <w:t>, предназначенный для регистрации и обработки сейсмических сигналов, описаны принципы работы устройства, его аппаратная и программная реализация. Приведены результаты его тестирования.</w:t>
      </w:r>
    </w:p>
    <w:p w:rsidR="00B33481" w:rsidRPr="009F7F7C" w:rsidRDefault="00B33481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B33481" w:rsidRPr="004267B6" w:rsidRDefault="00207F95" w:rsidP="004267B6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>Современные сейсмические регистраторы должны обеспечивать высокую точность измерений и обработку данны</w:t>
      </w:r>
      <w:r w:rsidRPr="004267B6">
        <w:rPr>
          <w:rFonts w:ascii="Times New Roman" w:hAnsi="Times New Roman" w:cs="Times New Roman"/>
          <w:sz w:val="22"/>
          <w:szCs w:val="22"/>
        </w:rPr>
        <w:t xml:space="preserve">х в реальном времени. Однако их стоимость, как у промышленного аналога Байкал-8 (свыше 1 млн рублей), или коммерческих решений (около 590–1140 $), ограничивает масштабы применения. Разработанный </w:t>
      </w:r>
      <w:proofErr w:type="spellStart"/>
      <w:r w:rsidRPr="004267B6">
        <w:rPr>
          <w:rFonts w:ascii="Times New Roman" w:hAnsi="Times New Roman" w:cs="Times New Roman"/>
          <w:sz w:val="22"/>
          <w:szCs w:val="22"/>
        </w:rPr>
        <w:t>сейсморегистратор</w:t>
      </w:r>
      <w:proofErr w:type="spellEnd"/>
      <w:r w:rsidRPr="004267B6">
        <w:rPr>
          <w:rFonts w:ascii="Times New Roman" w:hAnsi="Times New Roman" w:cs="Times New Roman"/>
          <w:sz w:val="22"/>
          <w:szCs w:val="22"/>
        </w:rPr>
        <w:t xml:space="preserve"> стоимостью 25 000 рублей решает эту проблему.</w:t>
      </w:r>
    </w:p>
    <w:p w:rsidR="00B33481" w:rsidRPr="004267B6" w:rsidRDefault="00207F95" w:rsidP="004267B6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4267B6">
        <w:rPr>
          <w:rFonts w:ascii="Times New Roman" w:hAnsi="Times New Roman" w:cs="Times New Roman"/>
          <w:sz w:val="22"/>
          <w:szCs w:val="22"/>
        </w:rPr>
        <w:t xml:space="preserve">В представленной работе описан трёхканальный </w:t>
      </w:r>
      <w:proofErr w:type="spellStart"/>
      <w:r w:rsidRPr="004267B6">
        <w:rPr>
          <w:rFonts w:ascii="Times New Roman" w:hAnsi="Times New Roman" w:cs="Times New Roman"/>
          <w:sz w:val="22"/>
          <w:szCs w:val="22"/>
        </w:rPr>
        <w:t>сейсморегистратор</w:t>
      </w:r>
      <w:proofErr w:type="spellEnd"/>
      <w:r w:rsidRPr="004267B6">
        <w:rPr>
          <w:rFonts w:ascii="Times New Roman" w:hAnsi="Times New Roman" w:cs="Times New Roman"/>
          <w:sz w:val="22"/>
          <w:szCs w:val="22"/>
        </w:rPr>
        <w:t xml:space="preserve">, разработанный на базе современных и доступных электронных компонентов. Его себестоимость составляет около 25 000 рублей, что на порядок ниже стоимости коммерческих аналогов, и делает его перспективным решением для создания масштабных сейсмических сетей. Ключевая задача данного устройства </w:t>
      </w:r>
      <w:r w:rsidR="004267B6" w:rsidRPr="004267B6">
        <w:rPr>
          <w:rFonts w:ascii="Times New Roman" w:hAnsi="Times New Roman" w:cs="Times New Roman"/>
          <w:sz w:val="22"/>
          <w:szCs w:val="22"/>
        </w:rPr>
        <w:t>–</w:t>
      </w:r>
      <w:r w:rsidRPr="004267B6">
        <w:rPr>
          <w:rFonts w:ascii="Times New Roman" w:hAnsi="Times New Roman" w:cs="Times New Roman"/>
          <w:sz w:val="22"/>
          <w:szCs w:val="22"/>
        </w:rPr>
        <w:t xml:space="preserve"> обеспечить максимальное покрытие территории наблюдения при минимальных затратах, что особенно актуально для долгосрочных геофизических исследований, мониторинга слабых землетрясений и изучения локальных тектонических процессов</w:t>
      </w:r>
      <w:r w:rsidR="004267B6">
        <w:rPr>
          <w:rFonts w:ascii="Times New Roman" w:hAnsi="Times New Roman" w:cs="Times New Roman"/>
          <w:sz w:val="22"/>
          <w:szCs w:val="22"/>
        </w:rPr>
        <w:t xml:space="preserve"> </w:t>
      </w:r>
      <w:r w:rsidR="004267B6" w:rsidRPr="009F7F7C">
        <w:rPr>
          <w:rFonts w:ascii="Times New Roman" w:hAnsi="Times New Roman" w:cs="Times New Roman"/>
          <w:sz w:val="22"/>
          <w:szCs w:val="22"/>
        </w:rPr>
        <w:t>[</w:t>
      </w:r>
      <w:r w:rsidR="004267B6">
        <w:rPr>
          <w:rFonts w:ascii="Times New Roman" w:hAnsi="Times New Roman" w:cs="Times New Roman"/>
          <w:sz w:val="22"/>
          <w:szCs w:val="22"/>
        </w:rPr>
        <w:t>1</w:t>
      </w:r>
      <w:r w:rsidR="004267B6" w:rsidRPr="009F7F7C">
        <w:rPr>
          <w:rFonts w:ascii="Times New Roman" w:hAnsi="Times New Roman" w:cs="Times New Roman"/>
          <w:sz w:val="22"/>
          <w:szCs w:val="22"/>
        </w:rPr>
        <w:t>].</w:t>
      </w:r>
    </w:p>
    <w:p w:rsidR="004267B6" w:rsidRPr="004267B6" w:rsidRDefault="00207F95" w:rsidP="004267B6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4267B6">
        <w:rPr>
          <w:rFonts w:ascii="Times New Roman" w:hAnsi="Times New Roman" w:cs="Times New Roman"/>
          <w:sz w:val="22"/>
          <w:szCs w:val="22"/>
        </w:rPr>
        <w:t xml:space="preserve">Разработанный регистратор (рис. 1) демонстрирует высокую функциональную готовность и пригоден для профессионального использования. </w:t>
      </w:r>
    </w:p>
    <w:p w:rsidR="004267B6" w:rsidRPr="004267B6" w:rsidRDefault="004267B6" w:rsidP="004267B6">
      <w:pPr>
        <w:pStyle w:val="a6"/>
        <w:suppressAutoHyphens w:val="0"/>
        <w:spacing w:after="0" w:line="30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4267B6">
        <w:rPr>
          <w:rFonts w:ascii="Times New Roman" w:hAnsi="Times New Roman"/>
          <w:i/>
          <w:iCs/>
          <w:noProof/>
          <w:sz w:val="22"/>
          <w:szCs w:val="22"/>
          <w:lang w:eastAsia="ru-RU" w:bidi="ar-SA"/>
        </w:rPr>
        <w:drawing>
          <wp:inline distT="0" distB="0" distL="0" distR="0" wp14:anchorId="3BF713C4" wp14:editId="10BE182E">
            <wp:extent cx="3460750" cy="2595245"/>
            <wp:effectExtent l="0" t="0" r="0" b="0"/>
            <wp:docPr id="2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7B6" w:rsidRPr="004267B6" w:rsidRDefault="004267B6" w:rsidP="004267B6">
      <w:pPr>
        <w:spacing w:line="300" w:lineRule="auto"/>
        <w:jc w:val="center"/>
        <w:rPr>
          <w:i/>
          <w:iCs/>
          <w:sz w:val="22"/>
          <w:szCs w:val="22"/>
        </w:rPr>
      </w:pPr>
      <w:r w:rsidRPr="004267B6">
        <w:rPr>
          <w:rFonts w:ascii="Times New Roman" w:hAnsi="Times New Roman" w:cs="Times New Roman"/>
          <w:i/>
          <w:sz w:val="22"/>
          <w:szCs w:val="22"/>
        </w:rPr>
        <w:t>Рис. 1.</w:t>
      </w:r>
      <w:r w:rsidRPr="004267B6">
        <w:rPr>
          <w:i/>
          <w:sz w:val="22"/>
          <w:szCs w:val="22"/>
        </w:rPr>
        <w:t xml:space="preserve"> </w:t>
      </w:r>
      <w:r w:rsidRPr="004267B6">
        <w:rPr>
          <w:rFonts w:ascii="Times New Roman" w:hAnsi="Times New Roman" w:cs="Times New Roman"/>
          <w:sz w:val="22"/>
          <w:szCs w:val="22"/>
        </w:rPr>
        <w:t xml:space="preserve">Внешний вид </w:t>
      </w:r>
      <w:proofErr w:type="spellStart"/>
      <w:r w:rsidRPr="004267B6">
        <w:rPr>
          <w:rFonts w:ascii="Times New Roman" w:hAnsi="Times New Roman" w:cs="Times New Roman"/>
          <w:sz w:val="22"/>
          <w:szCs w:val="22"/>
        </w:rPr>
        <w:t>сейсморегистратора</w:t>
      </w:r>
      <w:proofErr w:type="spellEnd"/>
      <w:r w:rsidRPr="004267B6">
        <w:rPr>
          <w:rFonts w:ascii="Times New Roman" w:hAnsi="Times New Roman" w:cs="Times New Roman"/>
          <w:sz w:val="22"/>
          <w:szCs w:val="22"/>
        </w:rPr>
        <w:t>.</w:t>
      </w:r>
    </w:p>
    <w:p w:rsidR="004267B6" w:rsidRDefault="004267B6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B33481" w:rsidRPr="009F7F7C" w:rsidRDefault="00207F95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Он способен фиксировать сейсмические колебания в широком диапазоне частот и амплитуд, что позволяет применять его как в научных исследованиях, так и в образовательных целях. Устройство оснащено интерфейсом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Ethernet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, обеспечивающим стабильную передачу данных в локальную сеть или напрямую на удалённый сервер для последующей обработки и архивирования. Это позволяет интегрировать регистратор в распределённые системы мониторинга, что обеспечивает оперативный доступ к сейсмическим данным в режиме реального времени. Модульная архитектура устройства обеспечивает </w:t>
      </w:r>
      <w:r w:rsidRPr="009F7F7C">
        <w:rPr>
          <w:rFonts w:ascii="Times New Roman" w:hAnsi="Times New Roman" w:cs="Times New Roman"/>
          <w:sz w:val="22"/>
          <w:szCs w:val="22"/>
        </w:rPr>
        <w:lastRenderedPageBreak/>
        <w:t>возможность его дальнейшего масштабирования и адаптации для решения различных прикладных задач, включая развёртывание автономных систем мониторинга, сейсморазведку и др.</w:t>
      </w:r>
    </w:p>
    <w:p w:rsidR="00B33481" w:rsidRPr="009F7F7C" w:rsidRDefault="00207F95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>Основу устройства составляют микроконтроллер MIMXRT1062 (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Teensy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4.1),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трёхосевые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датчики GS-ONE LF и 24-битные АЦП AD7766. Система включает буферные усилители, фильтры и GPS-модуль для синхронизации времени. Питание обеспечивается от источника 9–15 В.</w:t>
      </w:r>
    </w:p>
    <w:p w:rsidR="00B33481" w:rsidRPr="009F7F7C" w:rsidRDefault="00207F95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В процессе функционирования регистратора сейсмограммы в формате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miniSeed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записываются на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microSD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-карту, слот которой подключен к соответствующему аппаратному интерфейсу микроконтроллера. </w:t>
      </w:r>
      <w:proofErr w:type="gramStart"/>
      <w:r w:rsidRPr="009F7F7C">
        <w:rPr>
          <w:rFonts w:ascii="Times New Roman" w:hAnsi="Times New Roman" w:cs="Times New Roman"/>
          <w:sz w:val="22"/>
          <w:szCs w:val="22"/>
        </w:rPr>
        <w:t>Кроме этого</w:t>
      </w:r>
      <w:proofErr w:type="gramEnd"/>
      <w:r w:rsidRPr="009F7F7C">
        <w:rPr>
          <w:rFonts w:ascii="Times New Roman" w:hAnsi="Times New Roman" w:cs="Times New Roman"/>
          <w:sz w:val="22"/>
          <w:szCs w:val="22"/>
        </w:rPr>
        <w:t xml:space="preserve"> с помощью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Ethernet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PHY-трансивера DP83825, расположенного на плате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Teensy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, эти же данные посредством POST-запросов отправляются на удалённый веб-сервер, где приводятся к виду, пригодному для дальнейшего чтения и обработки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нейросетевым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клиентом.</w:t>
      </w:r>
    </w:p>
    <w:p w:rsidR="00B33481" w:rsidRPr="009F7F7C" w:rsidRDefault="00207F95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В целях обеспечения согласованного взаимодействия всех компонентов системы и достижения детерминированного результата была разработана оптимальная конфигурация соединений, в которой перечисленные элементы были объединены в единый комплекс. На рис. 2 представлен ключевой функциональный блок электрической схемы — входная цепь </w:t>
      </w:r>
      <w:proofErr w:type="gramStart"/>
      <w:r w:rsidRPr="009F7F7C">
        <w:rPr>
          <w:rFonts w:ascii="Times New Roman" w:hAnsi="Times New Roman" w:cs="Times New Roman"/>
          <w:sz w:val="22"/>
          <w:szCs w:val="22"/>
        </w:rPr>
        <w:t>и  АЦП</w:t>
      </w:r>
      <w:proofErr w:type="gramEnd"/>
      <w:r w:rsidRPr="009F7F7C">
        <w:rPr>
          <w:rFonts w:ascii="Times New Roman" w:hAnsi="Times New Roman" w:cs="Times New Roman"/>
          <w:sz w:val="22"/>
          <w:szCs w:val="22"/>
        </w:rPr>
        <w:t>.</w:t>
      </w:r>
    </w:p>
    <w:p w:rsidR="00B33481" w:rsidRPr="009F7F7C" w:rsidRDefault="00207F95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>Схема канала АЦП повторяет рекомендации производителя, с разделением аналоговой и цифровой земли. SPI-интерфейс используется для передачи данных с минимизацией помех.</w:t>
      </w:r>
    </w:p>
    <w:p w:rsidR="00B33481" w:rsidRDefault="00207F95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Остальные функциональные блоки электрической схемы не представляют существенного интереса в контексте данного исследования, в связи с чем их рассмотрение опущено, а полная схема отладочной платы, на базе которой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сейсморегистратор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разработан, приведена в [2].</w:t>
      </w:r>
    </w:p>
    <w:p w:rsidR="004267B6" w:rsidRDefault="004267B6" w:rsidP="004267B6">
      <w:pPr>
        <w:jc w:val="center"/>
        <w:rPr>
          <w:rFonts w:ascii="Times New Roman" w:hAnsi="Times New Roman" w:cs="Times New Roman"/>
          <w:sz w:val="22"/>
          <w:szCs w:val="22"/>
        </w:rPr>
      </w:pPr>
      <w:r>
        <w:rPr>
          <w:noProof/>
          <w:lang w:eastAsia="ru-RU" w:bidi="ar-SA"/>
        </w:rPr>
        <w:drawing>
          <wp:inline distT="0" distB="0" distL="0" distR="0" wp14:anchorId="398459EA" wp14:editId="257A3309">
            <wp:extent cx="4874296" cy="2857500"/>
            <wp:effectExtent l="0" t="0" r="2540" b="0"/>
            <wp:docPr id="5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945" cy="286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7B6" w:rsidRDefault="004267B6" w:rsidP="004267B6">
      <w:pPr>
        <w:jc w:val="center"/>
        <w:rPr>
          <w:rFonts w:ascii="Times New Roman" w:hAnsi="Times New Roman"/>
          <w:i/>
          <w:iCs/>
          <w:sz w:val="22"/>
          <w:szCs w:val="22"/>
        </w:rPr>
      </w:pPr>
      <w:r w:rsidRPr="004267B6">
        <w:rPr>
          <w:rFonts w:ascii="Times New Roman" w:hAnsi="Times New Roman"/>
          <w:i/>
          <w:sz w:val="22"/>
          <w:szCs w:val="22"/>
        </w:rPr>
        <w:t>Рис. 2.</w:t>
      </w:r>
      <w:r>
        <w:rPr>
          <w:rFonts w:ascii="Times New Roman" w:hAnsi="Times New Roman"/>
          <w:sz w:val="22"/>
          <w:szCs w:val="22"/>
        </w:rPr>
        <w:t xml:space="preserve"> Типовая электрическая схема канала АЦП</w:t>
      </w:r>
      <w:r>
        <w:rPr>
          <w:rFonts w:ascii="Times New Roman" w:hAnsi="Times New Roman"/>
          <w:sz w:val="22"/>
          <w:szCs w:val="22"/>
        </w:rPr>
        <w:t>.</w:t>
      </w:r>
    </w:p>
    <w:p w:rsidR="004267B6" w:rsidRPr="009F7F7C" w:rsidRDefault="004267B6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B33481" w:rsidRPr="009F7F7C" w:rsidRDefault="00207F95" w:rsidP="009F7F7C">
      <w:pPr>
        <w:suppressAutoHyphens w:val="0"/>
        <w:spacing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Программное обеспечение (C++,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Arduino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IDE) управляет АЦП через прерывания, фильтрует данные (БИХ-фильтр 100 Гц), записывает их на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microSD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и передаёт по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Ethernet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>. Синхронизация по GPS обеспечивает точную временную привязку</w:t>
      </w:r>
      <w:bookmarkStart w:id="0" w:name="_GoBack"/>
      <w:bookmarkEnd w:id="0"/>
      <w:r w:rsidRPr="009F7F7C">
        <w:rPr>
          <w:rFonts w:ascii="Times New Roman" w:hAnsi="Times New Roman" w:cs="Times New Roman"/>
          <w:sz w:val="22"/>
          <w:szCs w:val="22"/>
        </w:rPr>
        <w:t>.</w:t>
      </w:r>
    </w:p>
    <w:p w:rsidR="00B33481" w:rsidRPr="009F7F7C" w:rsidRDefault="00207F95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С целью валидации разработанного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сейсморегистратора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было проведено натурное испытание в контролируемых условиях, приближённых к лабораторным. К устройству подключили электромагнитные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сейсмодатчики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>, после чего выполнили регистрацию искусственно возбуждаемых механических колебаний. Воздействие генерировалось за счет свободного падения тестового груза массой ~4.6 г с высоты 1 м на расстоянии 5 м от датчиков. Полученные сейсмограммы (рис. 3) свидетельствуют о стабильной работе регистрирующей системы при частоте дискретизации 100 Гц.</w:t>
      </w:r>
    </w:p>
    <w:p w:rsidR="00B33481" w:rsidRDefault="00207F95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lastRenderedPageBreak/>
        <w:t xml:space="preserve">Полученные данные демонстрируют следующие результаты. Амплитуды пиковых значений в каналах X, Y и Z составили 800, 779 и 1723 отсчётов (0.24, 0.23 и 0.51 мВ соответственно), что свидетельствует о преобладании вертикальной компоненты (Z) в зарегистрированном сигнале по сравнению с горизонтальными (X, Y). Уровни шумов во всех каналах были сопоставимы (161–172 отсчётов, 0.05 мВ), что подтверждает равномерность шумовых характеристик системы. Отношение сигнал/шум варьировалось от 13.9 дБ (X, Y) до 20.0 дБ (Z), отражая значительное превосходство полезного сигнала над фоновыми помехами, особенно в вертикальной компоненте. Полученные значения соответствуют типичным параметрам низкоамплитудной сейсмической регистрации, что подтверждает корректность работы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сейсморегистратора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в заданных условиях. Наблюдаемая асимметрия в чувствительности каналов обусловлена особенностями ориентации датчиков и анизотропией распространения колебаний искусственно сгенерированного сигнала.</w:t>
      </w:r>
    </w:p>
    <w:p w:rsidR="004267B6" w:rsidRDefault="004267B6" w:rsidP="004267B6">
      <w:pPr>
        <w:pStyle w:val="a6"/>
        <w:suppressAutoHyphens w:val="0"/>
        <w:spacing w:after="0" w:line="300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noProof/>
          <w:lang w:eastAsia="ru-RU" w:bidi="ar-SA"/>
        </w:rPr>
        <w:drawing>
          <wp:inline distT="0" distB="0" distL="0" distR="0" wp14:anchorId="79FF88CA" wp14:editId="5B2FB1A1">
            <wp:extent cx="6120130" cy="1784985"/>
            <wp:effectExtent l="0" t="0" r="0" b="5715"/>
            <wp:docPr id="7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78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7B6" w:rsidRDefault="004267B6" w:rsidP="004267B6">
      <w:pPr>
        <w:pStyle w:val="a6"/>
        <w:suppressAutoHyphens w:val="0"/>
        <w:spacing w:after="0" w:line="300" w:lineRule="auto"/>
        <w:jc w:val="center"/>
        <w:rPr>
          <w:rFonts w:ascii="Times New Roman" w:hAnsi="Times New Roman" w:cs="Times New Roman"/>
          <w:sz w:val="22"/>
          <w:szCs w:val="22"/>
        </w:rPr>
      </w:pPr>
      <w:r w:rsidRPr="004267B6">
        <w:rPr>
          <w:i/>
          <w:color w:val="000000"/>
          <w:sz w:val="22"/>
          <w:szCs w:val="22"/>
        </w:rPr>
        <w:t>Рис. 3.</w:t>
      </w:r>
      <w:r>
        <w:rPr>
          <w:color w:val="000000"/>
          <w:sz w:val="22"/>
          <w:szCs w:val="22"/>
        </w:rPr>
        <w:t xml:space="preserve"> Тестовые сейсмограммы</w:t>
      </w:r>
      <w:r>
        <w:rPr>
          <w:color w:val="000000"/>
          <w:sz w:val="22"/>
          <w:szCs w:val="22"/>
        </w:rPr>
        <w:t>.</w:t>
      </w:r>
    </w:p>
    <w:p w:rsidR="004267B6" w:rsidRPr="009F7F7C" w:rsidRDefault="004267B6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</w:p>
    <w:p w:rsidR="00B33481" w:rsidRPr="009F7F7C" w:rsidRDefault="00207F95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Получившийся трёхканальный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сейсморегистратор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подтвердил свою работоспособность в приложении низкоамплитудной сейсмической регистрации. Устройство продемонстрировало стабильную чувствительность во всех каналах, с преобладанием вертикальной компоненты (Z) в зарегистрированном сигнале, что согласуется с направленностью искусственного воздействия. Отношение сигнал/шум на уровне 13</w:t>
      </w:r>
      <w:r w:rsidR="004267B6">
        <w:rPr>
          <w:rFonts w:ascii="Times New Roman" w:hAnsi="Times New Roman" w:cs="Times New Roman"/>
          <w:sz w:val="22"/>
          <w:szCs w:val="22"/>
        </w:rPr>
        <w:t>,</w:t>
      </w:r>
      <w:r w:rsidRPr="009F7F7C">
        <w:rPr>
          <w:rFonts w:ascii="Times New Roman" w:hAnsi="Times New Roman" w:cs="Times New Roman"/>
          <w:sz w:val="22"/>
          <w:szCs w:val="22"/>
        </w:rPr>
        <w:t>9–20</w:t>
      </w:r>
      <w:r w:rsidR="004267B6">
        <w:rPr>
          <w:rFonts w:ascii="Times New Roman" w:hAnsi="Times New Roman" w:cs="Times New Roman"/>
          <w:sz w:val="22"/>
          <w:szCs w:val="22"/>
        </w:rPr>
        <w:t>,</w:t>
      </w:r>
      <w:r w:rsidRPr="009F7F7C">
        <w:rPr>
          <w:rFonts w:ascii="Times New Roman" w:hAnsi="Times New Roman" w:cs="Times New Roman"/>
          <w:sz w:val="22"/>
          <w:szCs w:val="22"/>
        </w:rPr>
        <w:t>0 дБ и сопоставимые уровни шумов (0</w:t>
      </w:r>
      <w:r w:rsidR="004267B6">
        <w:rPr>
          <w:rFonts w:ascii="Times New Roman" w:hAnsi="Times New Roman" w:cs="Times New Roman"/>
          <w:sz w:val="22"/>
          <w:szCs w:val="22"/>
        </w:rPr>
        <w:t>,</w:t>
      </w:r>
      <w:r w:rsidRPr="009F7F7C">
        <w:rPr>
          <w:rFonts w:ascii="Times New Roman" w:hAnsi="Times New Roman" w:cs="Times New Roman"/>
          <w:sz w:val="22"/>
          <w:szCs w:val="22"/>
        </w:rPr>
        <w:t>05 мВ) свидетельствуют о высокой точности измерений и минимальном уровне помех.</w:t>
      </w:r>
    </w:p>
    <w:p w:rsidR="00B33481" w:rsidRPr="009F7F7C" w:rsidRDefault="00207F95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Низкая себестоимость, модульная архитектура и возможность интеграции данного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сейсморегистратора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в распределённые сети мониторинга открывает широкие перспективы, которые делают его эффективным решением для задач сейсморазведки, изучения локальной тектоники, а также образовательных проектов. Дальнейшее развитие включает в себя полноценное полевое тестирование в областях с повышенной тектонической активностью, расширение динамического диапазона, улучшение системы обработки и хранения данных и др.</w:t>
      </w:r>
    </w:p>
    <w:p w:rsidR="00B33481" w:rsidRPr="009F7F7C" w:rsidRDefault="00207F95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 w:cs="Times New Roman"/>
          <w:sz w:val="22"/>
          <w:szCs w:val="22"/>
        </w:rPr>
      </w:pPr>
      <w:r w:rsidRPr="009F7F7C">
        <w:rPr>
          <w:rFonts w:ascii="Times New Roman" w:hAnsi="Times New Roman" w:cs="Times New Roman"/>
          <w:sz w:val="22"/>
          <w:szCs w:val="22"/>
        </w:rPr>
        <w:t xml:space="preserve">Разработанный </w:t>
      </w:r>
      <w:proofErr w:type="spellStart"/>
      <w:r w:rsidRPr="009F7F7C">
        <w:rPr>
          <w:rFonts w:ascii="Times New Roman" w:hAnsi="Times New Roman" w:cs="Times New Roman"/>
          <w:sz w:val="22"/>
          <w:szCs w:val="22"/>
        </w:rPr>
        <w:t>сейсморегистратор</w:t>
      </w:r>
      <w:proofErr w:type="spellEnd"/>
      <w:r w:rsidRPr="009F7F7C">
        <w:rPr>
          <w:rFonts w:ascii="Times New Roman" w:hAnsi="Times New Roman" w:cs="Times New Roman"/>
          <w:sz w:val="22"/>
          <w:szCs w:val="22"/>
        </w:rPr>
        <w:t xml:space="preserve"> представляет собой конкурентоспособную альтернативу коммерческим аналогам, сочетая доступность, надёжность и достаточную точность для профессионального использования в геофизических исследованиях.</w:t>
      </w:r>
    </w:p>
    <w:p w:rsidR="00B33481" w:rsidRPr="009F7F7C" w:rsidRDefault="00B33481" w:rsidP="009F7F7C">
      <w:pPr>
        <w:pStyle w:val="a6"/>
        <w:suppressAutoHyphens w:val="0"/>
        <w:spacing w:after="0" w:line="300" w:lineRule="auto"/>
        <w:ind w:firstLine="709"/>
        <w:jc w:val="both"/>
        <w:rPr>
          <w:rFonts w:ascii="Times New Roman" w:hAnsi="Times New Roman"/>
          <w:b/>
          <w:bCs/>
          <w:sz w:val="22"/>
          <w:szCs w:val="22"/>
        </w:rPr>
      </w:pPr>
    </w:p>
    <w:p w:rsidR="00B33481" w:rsidRPr="009F7F7C" w:rsidRDefault="00207F95" w:rsidP="009F7F7C">
      <w:pPr>
        <w:pStyle w:val="a6"/>
        <w:suppressAutoHyphens w:val="0"/>
        <w:spacing w:after="0" w:line="300" w:lineRule="auto"/>
        <w:ind w:firstLine="709"/>
        <w:jc w:val="center"/>
        <w:rPr>
          <w:rFonts w:ascii="Times New Roman" w:hAnsi="Times New Roman" w:cs="Times New Roman"/>
          <w:b/>
          <w:bCs/>
          <w:spacing w:val="2"/>
          <w:sz w:val="22"/>
          <w:szCs w:val="22"/>
        </w:rPr>
      </w:pPr>
      <w:r w:rsidRPr="009F7F7C">
        <w:rPr>
          <w:rFonts w:ascii="Times New Roman" w:hAnsi="Times New Roman" w:cs="Times New Roman"/>
          <w:b/>
          <w:bCs/>
          <w:spacing w:val="2"/>
          <w:sz w:val="22"/>
          <w:szCs w:val="22"/>
        </w:rPr>
        <w:t>Л И Т Е Р А Т У Р А</w:t>
      </w:r>
    </w:p>
    <w:p w:rsidR="00B33481" w:rsidRPr="009F7F7C" w:rsidRDefault="00B33481" w:rsidP="009F7F7C">
      <w:pPr>
        <w:widowControl w:val="0"/>
        <w:suppressAutoHyphens w:val="0"/>
        <w:spacing w:line="300" w:lineRule="auto"/>
        <w:jc w:val="both"/>
        <w:rPr>
          <w:rFonts w:ascii="Times New Roman" w:hAnsi="Times New Roman"/>
          <w:b/>
          <w:bCs/>
          <w:sz w:val="22"/>
          <w:szCs w:val="22"/>
        </w:rPr>
      </w:pPr>
    </w:p>
    <w:p w:rsidR="00B33481" w:rsidRPr="004267B6" w:rsidRDefault="00207F95" w:rsidP="009F7F7C">
      <w:pPr>
        <w:pStyle w:val="af"/>
        <w:widowControl w:val="0"/>
        <w:numPr>
          <w:ilvl w:val="0"/>
          <w:numId w:val="1"/>
        </w:numPr>
        <w:tabs>
          <w:tab w:val="clear" w:pos="709"/>
        </w:tabs>
        <w:suppressAutoHyphens w:val="0"/>
        <w:overflowPunct w:val="0"/>
        <w:spacing w:line="300" w:lineRule="auto"/>
        <w:ind w:left="0" w:firstLine="426"/>
        <w:contextualSpacing w:val="0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</w:pP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Применение сейсмостанции «</w:t>
      </w:r>
      <w:proofErr w:type="spellStart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Сейсмопро</w:t>
      </w:r>
      <w:proofErr w:type="spellEnd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» для изучения вулканической активности / К.С. Рябинкин [и др.] // Физика: фундамент. и </w:t>
      </w:r>
      <w:proofErr w:type="spellStart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прикл</w:t>
      </w:r>
      <w:proofErr w:type="spellEnd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. </w:t>
      </w:r>
      <w:proofErr w:type="spellStart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исслед</w:t>
      </w:r>
      <w:proofErr w:type="spellEnd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., </w:t>
      </w:r>
      <w:proofErr w:type="gramStart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образование :</w:t>
      </w:r>
      <w:proofErr w:type="gramEnd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 Материалы </w:t>
      </w: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val="en-US" w:eastAsia="en-US" w:bidi="ar-SA"/>
        </w:rPr>
        <w:t>XXII</w:t>
      </w: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 </w:t>
      </w:r>
      <w:proofErr w:type="spellStart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Всерос</w:t>
      </w:r>
      <w:proofErr w:type="spellEnd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. науч. </w:t>
      </w:r>
      <w:proofErr w:type="spellStart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конф</w:t>
      </w:r>
      <w:proofErr w:type="spellEnd"/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. – Хабаровск, 2024. – С. 223-228. – </w:t>
      </w: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val="en-US" w:eastAsia="en-US" w:bidi="ar-SA"/>
        </w:rPr>
        <w:t>EDN</w:t>
      </w: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 </w:t>
      </w: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val="en-US" w:eastAsia="en-US" w:bidi="ar-SA"/>
        </w:rPr>
        <w:t>KEYVIL</w:t>
      </w: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>.</w:t>
      </w:r>
    </w:p>
    <w:p w:rsidR="00B33481" w:rsidRPr="004267B6" w:rsidRDefault="00207F95" w:rsidP="009F7F7C">
      <w:pPr>
        <w:pStyle w:val="af"/>
        <w:widowControl w:val="0"/>
        <w:numPr>
          <w:ilvl w:val="0"/>
          <w:numId w:val="1"/>
        </w:numPr>
        <w:tabs>
          <w:tab w:val="clear" w:pos="709"/>
        </w:tabs>
        <w:suppressAutoHyphens w:val="0"/>
        <w:overflowPunct w:val="0"/>
        <w:spacing w:line="300" w:lineRule="auto"/>
        <w:ind w:left="0" w:firstLine="426"/>
        <w:contextualSpacing w:val="0"/>
        <w:jc w:val="both"/>
        <w:rPr>
          <w:sz w:val="20"/>
          <w:szCs w:val="20"/>
        </w:rPr>
      </w:pP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val="en-US" w:eastAsia="en-US" w:bidi="ar-SA"/>
        </w:rPr>
        <w:t xml:space="preserve">Teensy and Teensy++ Schematic Diagrams. </w:t>
      </w:r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URL: </w:t>
      </w:r>
      <w:hyperlink r:id="rId10">
        <w:r w:rsidRPr="004267B6">
          <w:rPr>
            <w:rFonts w:ascii="Times New Roman" w:eastAsia="Times New Roman" w:hAnsi="Times New Roman" w:cs="Times New Roman"/>
            <w:kern w:val="0"/>
            <w:sz w:val="20"/>
            <w:szCs w:val="20"/>
            <w:lang w:eastAsia="en-US" w:bidi="ar-SA"/>
          </w:rPr>
          <w:t>https://www.pjrc.com/teensy/schematic.html</w:t>
        </w:r>
      </w:hyperlink>
      <w:r w:rsidRPr="004267B6">
        <w:rPr>
          <w:rFonts w:ascii="Times New Roman" w:eastAsia="Times New Roman" w:hAnsi="Times New Roman" w:cs="Times New Roman"/>
          <w:kern w:val="0"/>
          <w:sz w:val="20"/>
          <w:szCs w:val="20"/>
          <w:lang w:eastAsia="en-US" w:bidi="ar-SA"/>
        </w:rPr>
        <w:t xml:space="preserve"> (Дата обращения: 16.07.2025)</w:t>
      </w:r>
    </w:p>
    <w:sectPr w:rsidR="00B33481" w:rsidRPr="004267B6" w:rsidSect="009F7F7C">
      <w:pgSz w:w="11906" w:h="16838"/>
      <w:pgMar w:top="1134" w:right="1134" w:bottom="1134" w:left="1134" w:header="0" w:footer="0" w:gutter="0"/>
      <w:cols w:space="720"/>
      <w:formProt w:val="0"/>
      <w:docGrid w:linePitch="600" w:charSpace="3276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panose1 w:val="02020603050405020304"/>
    <w:charset w:val="01"/>
    <w:family w:val="roman"/>
    <w:pitch w:val="variable"/>
    <w:sig w:usb0="E0000AFF" w:usb1="500078FF" w:usb2="00000021" w:usb3="00000000" w:csb0="000001BF" w:csb1="00000000"/>
  </w:font>
  <w:font w:name="Noto Serif CJK SC">
    <w:altName w:val="Times New Roman"/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Noto Sans CJK SC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DA6818"/>
    <w:multiLevelType w:val="multilevel"/>
    <w:tmpl w:val="5296B33A"/>
    <w:lvl w:ilvl="0">
      <w:start w:val="1"/>
      <w:numFmt w:val="decimal"/>
      <w:lvlText w:val="%1."/>
      <w:lvlJc w:val="left"/>
      <w:pPr>
        <w:tabs>
          <w:tab w:val="num" w:pos="709"/>
        </w:tabs>
        <w:ind w:left="709" w:hanging="283"/>
      </w:pPr>
      <w:rPr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18"/>
        </w:tabs>
        <w:ind w:left="1418" w:hanging="283"/>
      </w:pPr>
    </w:lvl>
    <w:lvl w:ilvl="2">
      <w:start w:val="1"/>
      <w:numFmt w:val="decimal"/>
      <w:lvlText w:val="%3."/>
      <w:lvlJc w:val="left"/>
      <w:pPr>
        <w:tabs>
          <w:tab w:val="num" w:pos="2127"/>
        </w:tabs>
        <w:ind w:left="2127" w:hanging="283"/>
      </w:pPr>
    </w:lvl>
    <w:lvl w:ilvl="3">
      <w:start w:val="1"/>
      <w:numFmt w:val="decimal"/>
      <w:lvlText w:val="%4."/>
      <w:lvlJc w:val="left"/>
      <w:pPr>
        <w:tabs>
          <w:tab w:val="num" w:pos="2836"/>
        </w:tabs>
        <w:ind w:left="2836" w:hanging="283"/>
      </w:pPr>
    </w:lvl>
    <w:lvl w:ilvl="4">
      <w:start w:val="1"/>
      <w:numFmt w:val="decimal"/>
      <w:lvlText w:val="%5."/>
      <w:lvlJc w:val="left"/>
      <w:pPr>
        <w:tabs>
          <w:tab w:val="num" w:pos="3545"/>
        </w:tabs>
        <w:ind w:left="3545" w:hanging="283"/>
      </w:pPr>
    </w:lvl>
    <w:lvl w:ilvl="5">
      <w:start w:val="1"/>
      <w:numFmt w:val="decimal"/>
      <w:lvlText w:val="%6."/>
      <w:lvlJc w:val="left"/>
      <w:pPr>
        <w:tabs>
          <w:tab w:val="num" w:pos="4254"/>
        </w:tabs>
        <w:ind w:left="4254" w:hanging="283"/>
      </w:pPr>
    </w:lvl>
    <w:lvl w:ilvl="6">
      <w:start w:val="1"/>
      <w:numFmt w:val="decimal"/>
      <w:lvlText w:val="%7."/>
      <w:lvlJc w:val="left"/>
      <w:pPr>
        <w:tabs>
          <w:tab w:val="num" w:pos="4963"/>
        </w:tabs>
        <w:ind w:left="4963" w:hanging="283"/>
      </w:pPr>
    </w:lvl>
    <w:lvl w:ilvl="7">
      <w:start w:val="1"/>
      <w:numFmt w:val="decimal"/>
      <w:lvlText w:val="%8."/>
      <w:lvlJc w:val="left"/>
      <w:pPr>
        <w:tabs>
          <w:tab w:val="num" w:pos="5672"/>
        </w:tabs>
        <w:ind w:left="5672" w:hanging="283"/>
      </w:pPr>
    </w:lvl>
    <w:lvl w:ilvl="8">
      <w:start w:val="1"/>
      <w:numFmt w:val="decimal"/>
      <w:lvlText w:val="%9."/>
      <w:lvlJc w:val="left"/>
      <w:pPr>
        <w:tabs>
          <w:tab w:val="num" w:pos="6381"/>
        </w:tabs>
        <w:ind w:left="6381" w:hanging="283"/>
      </w:pPr>
    </w:lvl>
  </w:abstractNum>
  <w:abstractNum w:abstractNumId="1" w15:restartNumberingAfterBreak="0">
    <w:nsid w:val="20DF50F0"/>
    <w:multiLevelType w:val="multilevel"/>
    <w:tmpl w:val="8E4460C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3481"/>
    <w:rsid w:val="00207F95"/>
    <w:rsid w:val="004267B6"/>
    <w:rsid w:val="00562F03"/>
    <w:rsid w:val="00936BF5"/>
    <w:rsid w:val="009857B6"/>
    <w:rsid w:val="009F7F7C"/>
    <w:rsid w:val="00A426C4"/>
    <w:rsid w:val="00B33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8C01D1"/>
  <w15:docId w15:val="{2071AA33-F2F0-4D23-A03F-1BADB3D305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Liberation Serif" w:eastAsia="Noto Serif CJK SC" w:hAnsi="Liberation Serif" w:cs="Lohit Devanagari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pPr>
      <w:keepNext/>
      <w:jc w:val="both"/>
      <w:outlineLvl w:val="0"/>
    </w:pPr>
    <w:rPr>
      <w:b/>
      <w:bCs/>
      <w:lang w:val="en-US"/>
    </w:rPr>
  </w:style>
  <w:style w:type="paragraph" w:styleId="2">
    <w:name w:val="heading 2"/>
    <w:basedOn w:val="a"/>
    <w:next w:val="a"/>
    <w:link w:val="20"/>
    <w:qFormat/>
    <w:pPr>
      <w:keepNext/>
      <w:jc w:val="both"/>
      <w:outlineLvl w:val="1"/>
    </w:pPr>
    <w:rPr>
      <w:rFonts w:ascii="Times New Roman" w:hAnsi="Times New Roman" w:cs="Times New Roman"/>
      <w:b/>
      <w:bCs/>
      <w:i/>
      <w:iCs/>
      <w:sz w:val="22"/>
      <w:szCs w:val="22"/>
    </w:rPr>
  </w:style>
  <w:style w:type="paragraph" w:styleId="3">
    <w:name w:val="heading 3"/>
    <w:basedOn w:val="a"/>
    <w:link w:val="30"/>
    <w:qFormat/>
    <w:pPr>
      <w:suppressAutoHyphens w:val="0"/>
      <w:overflowPunct w:val="0"/>
      <w:spacing w:before="280" w:after="280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:lang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rPr>
      <w:rFonts w:ascii="Times New Roman" w:hAnsi="Times New Roman" w:cs="Times New Roman"/>
      <w:color w:val="0000FF"/>
      <w:u w:val="single"/>
    </w:rPr>
  </w:style>
  <w:style w:type="character" w:customStyle="1" w:styleId="a3">
    <w:name w:val="Выделение жирным"/>
    <w:qFormat/>
    <w:rPr>
      <w:b/>
      <w:bCs/>
    </w:rPr>
  </w:style>
  <w:style w:type="character" w:customStyle="1" w:styleId="a4">
    <w:name w:val="Символ нумерации"/>
    <w:qFormat/>
  </w:style>
  <w:style w:type="character" w:customStyle="1" w:styleId="21">
    <w:name w:val="Основной текст 2 Знак"/>
    <w:basedOn w:val="a0"/>
    <w:link w:val="22"/>
    <w:qFormat/>
    <w:rPr>
      <w:b/>
      <w:bCs/>
    </w:rPr>
  </w:style>
  <w:style w:type="character" w:customStyle="1" w:styleId="a5">
    <w:name w:val="Основной текст Знак"/>
    <w:basedOn w:val="a0"/>
    <w:link w:val="a6"/>
    <w:qFormat/>
  </w:style>
  <w:style w:type="character" w:customStyle="1" w:styleId="a7">
    <w:name w:val="Основной текст с отступом Знак"/>
    <w:basedOn w:val="a0"/>
    <w:link w:val="a8"/>
    <w:qFormat/>
  </w:style>
  <w:style w:type="character" w:styleId="a9">
    <w:name w:val="Strong"/>
    <w:basedOn w:val="a0"/>
    <w:qFormat/>
    <w:rPr>
      <w:b/>
      <w:bCs/>
    </w:rPr>
  </w:style>
  <w:style w:type="character" w:customStyle="1" w:styleId="30">
    <w:name w:val="Заголовок 3 Знак"/>
    <w:basedOn w:val="a0"/>
    <w:link w:val="3"/>
    <w:qFormat/>
    <w:rPr>
      <w:rFonts w:ascii="Times New Roman" w:eastAsia="Times New Roman" w:hAnsi="Times New Roman" w:cs="Times New Roman"/>
      <w:b/>
      <w:bCs/>
      <w:kern w:val="0"/>
      <w:sz w:val="27"/>
      <w:szCs w:val="27"/>
      <w:lang w:eastAsia="ru-RU" w:bidi="ar-SA"/>
    </w:rPr>
  </w:style>
  <w:style w:type="character" w:customStyle="1" w:styleId="10">
    <w:name w:val="Заголовок 1 Знак"/>
    <w:basedOn w:val="a0"/>
    <w:link w:val="1"/>
    <w:qFormat/>
    <w:rPr>
      <w:b/>
      <w:bCs/>
      <w:lang w:val="en-US"/>
    </w:rPr>
  </w:style>
  <w:style w:type="character" w:customStyle="1" w:styleId="31">
    <w:name w:val="Основной текст 3 Знак"/>
    <w:basedOn w:val="a0"/>
    <w:link w:val="32"/>
    <w:qFormat/>
    <w:rPr>
      <w:sz w:val="20"/>
      <w:szCs w:val="20"/>
    </w:rPr>
  </w:style>
  <w:style w:type="character" w:customStyle="1" w:styleId="20">
    <w:name w:val="Заголовок 2 Знак"/>
    <w:basedOn w:val="a0"/>
    <w:link w:val="2"/>
    <w:qFormat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aa">
    <w:name w:val="Текст сноски Знак"/>
    <w:basedOn w:val="a0"/>
    <w:link w:val="ab"/>
    <w:qFormat/>
    <w:rPr>
      <w:rFonts w:ascii="Calibri" w:eastAsia="Times New Roman" w:hAnsi="Calibri" w:cs="Times New Roman"/>
      <w:kern w:val="0"/>
      <w:sz w:val="20"/>
      <w:szCs w:val="20"/>
      <w:lang w:eastAsia="en-US" w:bidi="ar-SA"/>
    </w:rPr>
  </w:style>
  <w:style w:type="character" w:customStyle="1" w:styleId="ac">
    <w:name w:val="Символ сноски"/>
    <w:basedOn w:val="a0"/>
    <w:qFormat/>
    <w:rPr>
      <w:vertAlign w:val="superscript"/>
    </w:rPr>
  </w:style>
  <w:style w:type="character" w:customStyle="1" w:styleId="ad">
    <w:name w:val="Привязка сноски"/>
    <w:rPr>
      <w:vertAlign w:val="superscript"/>
    </w:rPr>
  </w:style>
  <w:style w:type="character" w:customStyle="1" w:styleId="markedcontent">
    <w:name w:val="markedcontent"/>
    <w:basedOn w:val="a0"/>
    <w:qFormat/>
    <w:rPr>
      <w:rFonts w:ascii="Times New Roman" w:hAnsi="Times New Roman" w:cs="Times New Roman"/>
    </w:rPr>
  </w:style>
  <w:style w:type="character" w:customStyle="1" w:styleId="ae">
    <w:name w:val="Абзац списка Знак"/>
    <w:basedOn w:val="a0"/>
    <w:link w:val="af"/>
    <w:qFormat/>
    <w:rPr>
      <w:rFonts w:cs="Mangal"/>
      <w:szCs w:val="21"/>
    </w:rPr>
  </w:style>
  <w:style w:type="character" w:customStyle="1" w:styleId="11">
    <w:name w:val="Неразрешенное упоминание1"/>
    <w:basedOn w:val="a0"/>
    <w:qFormat/>
    <w:rPr>
      <w:color w:val="605E5C"/>
      <w:shd w:val="clear" w:color="auto" w:fill="E1DFDD"/>
    </w:rPr>
  </w:style>
  <w:style w:type="character" w:customStyle="1" w:styleId="af0">
    <w:name w:val="Привязка концевой сноски"/>
    <w:rPr>
      <w:vertAlign w:val="superscript"/>
    </w:rPr>
  </w:style>
  <w:style w:type="character" w:customStyle="1" w:styleId="af1">
    <w:name w:val="Символ концевой сноски"/>
    <w:qFormat/>
  </w:style>
  <w:style w:type="character" w:styleId="af2">
    <w:name w:val="Emphasis"/>
    <w:qFormat/>
    <w:rPr>
      <w:i/>
      <w:iCs/>
    </w:rPr>
  </w:style>
  <w:style w:type="paragraph" w:styleId="af3">
    <w:name w:val="Title"/>
    <w:basedOn w:val="a"/>
    <w:next w:val="a6"/>
    <w:qFormat/>
    <w:pPr>
      <w:keepNext/>
      <w:spacing w:before="240" w:after="120"/>
    </w:pPr>
    <w:rPr>
      <w:rFonts w:ascii="Liberation Sans" w:eastAsia="Noto Sans CJK SC" w:hAnsi="Liberation Sans"/>
      <w:sz w:val="28"/>
      <w:szCs w:val="28"/>
    </w:rPr>
  </w:style>
  <w:style w:type="paragraph" w:styleId="a6">
    <w:name w:val="Body Text"/>
    <w:basedOn w:val="a"/>
    <w:link w:val="a5"/>
    <w:pPr>
      <w:spacing w:after="140" w:line="276" w:lineRule="auto"/>
    </w:pPr>
  </w:style>
  <w:style w:type="paragraph" w:styleId="af4">
    <w:name w:val="List"/>
    <w:basedOn w:val="a6"/>
  </w:style>
  <w:style w:type="paragraph" w:styleId="af5">
    <w:name w:val="caption"/>
    <w:basedOn w:val="a"/>
    <w:qFormat/>
    <w:pPr>
      <w:suppressLineNumbers/>
      <w:spacing w:before="120" w:after="120"/>
    </w:pPr>
    <w:rPr>
      <w:i/>
      <w:iCs/>
    </w:rPr>
  </w:style>
  <w:style w:type="paragraph" w:styleId="af6">
    <w:name w:val="index heading"/>
    <w:basedOn w:val="a"/>
    <w:qFormat/>
    <w:pPr>
      <w:suppressLineNumbers/>
    </w:pPr>
  </w:style>
  <w:style w:type="paragraph" w:customStyle="1" w:styleId="af7">
    <w:name w:val="Горизонтальная линия"/>
    <w:basedOn w:val="a"/>
    <w:next w:val="a6"/>
    <w:qFormat/>
    <w:pPr>
      <w:suppressLineNumbers/>
      <w:pBdr>
        <w:bottom w:val="double" w:sz="2" w:space="0" w:color="808080"/>
      </w:pBdr>
      <w:spacing w:after="283"/>
    </w:pPr>
    <w:rPr>
      <w:sz w:val="12"/>
      <w:szCs w:val="12"/>
    </w:rPr>
  </w:style>
  <w:style w:type="paragraph" w:customStyle="1" w:styleId="af8">
    <w:name w:val="Рис."/>
    <w:basedOn w:val="af5"/>
    <w:qFormat/>
  </w:style>
  <w:style w:type="paragraph" w:customStyle="1" w:styleId="af9">
    <w:name w:val="Содержимое врезки"/>
    <w:basedOn w:val="a"/>
    <w:qFormat/>
  </w:style>
  <w:style w:type="paragraph" w:styleId="22">
    <w:name w:val="Body Text 2"/>
    <w:basedOn w:val="a"/>
    <w:link w:val="21"/>
    <w:qFormat/>
    <w:pPr>
      <w:jc w:val="both"/>
    </w:pPr>
    <w:rPr>
      <w:b/>
      <w:bCs/>
    </w:rPr>
  </w:style>
  <w:style w:type="paragraph" w:styleId="afa">
    <w:name w:val="Normal (Web)"/>
    <w:basedOn w:val="a"/>
    <w:qFormat/>
    <w:pPr>
      <w:suppressAutoHyphens w:val="0"/>
      <w:overflowPunct w:val="0"/>
      <w:spacing w:before="280" w:after="280"/>
    </w:pPr>
    <w:rPr>
      <w:rFonts w:ascii="Times New Roman" w:eastAsia="Times New Roman" w:hAnsi="Times New Roman" w:cs="Times New Roman"/>
      <w:kern w:val="0"/>
      <w:lang w:eastAsia="ru-RU" w:bidi="ar-SA"/>
    </w:rPr>
  </w:style>
  <w:style w:type="paragraph" w:styleId="af">
    <w:name w:val="List Paragraph"/>
    <w:basedOn w:val="a"/>
    <w:link w:val="ae"/>
    <w:qFormat/>
    <w:pPr>
      <w:ind w:left="720"/>
      <w:contextualSpacing/>
    </w:pPr>
    <w:rPr>
      <w:rFonts w:cs="Mangal"/>
      <w:szCs w:val="21"/>
    </w:rPr>
  </w:style>
  <w:style w:type="paragraph" w:styleId="a8">
    <w:name w:val="Body Text Indent"/>
    <w:basedOn w:val="a"/>
    <w:link w:val="a7"/>
    <w:pPr>
      <w:spacing w:before="120"/>
      <w:ind w:firstLine="709"/>
      <w:jc w:val="both"/>
    </w:pPr>
  </w:style>
  <w:style w:type="paragraph" w:styleId="32">
    <w:name w:val="Body Text 3"/>
    <w:basedOn w:val="a"/>
    <w:link w:val="31"/>
    <w:qFormat/>
    <w:pPr>
      <w:jc w:val="both"/>
    </w:pPr>
    <w:rPr>
      <w:sz w:val="20"/>
      <w:szCs w:val="20"/>
    </w:rPr>
  </w:style>
  <w:style w:type="paragraph" w:styleId="ab">
    <w:name w:val="footnote text"/>
    <w:basedOn w:val="a"/>
    <w:link w:val="aa"/>
    <w:pPr>
      <w:suppressAutoHyphens w:val="0"/>
      <w:overflowPunct w:val="0"/>
    </w:pPr>
    <w:rPr>
      <w:rFonts w:ascii="Calibri" w:eastAsia="Times New Roman" w:hAnsi="Calibri" w:cs="Times New Roman"/>
      <w:kern w:val="0"/>
      <w:sz w:val="20"/>
      <w:szCs w:val="20"/>
      <w:lang w:eastAsia="en-US" w:bidi="ar-SA"/>
    </w:rPr>
  </w:style>
  <w:style w:type="paragraph" w:styleId="afb">
    <w:name w:val="No Spacing"/>
    <w:qFormat/>
    <w:pPr>
      <w:suppressAutoHyphens w:val="0"/>
    </w:pPr>
    <w:rPr>
      <w:rFonts w:ascii="Calibri" w:eastAsia="Times New Roman" w:hAnsi="Calibri" w:cs="Times New Roman"/>
      <w:kern w:val="0"/>
      <w:sz w:val="22"/>
      <w:szCs w:val="22"/>
      <w:lang w:eastAsia="en-US" w:bidi="ar-SA"/>
    </w:rPr>
  </w:style>
  <w:style w:type="paragraph" w:customStyle="1" w:styleId="afc">
    <w:name w:val="Содержимое таблицы"/>
    <w:basedOn w:val="a"/>
    <w:qFormat/>
    <w:pPr>
      <w:widowControl w:val="0"/>
      <w:suppressLineNumbers/>
    </w:pPr>
  </w:style>
  <w:style w:type="paragraph" w:customStyle="1" w:styleId="afd">
    <w:name w:val="Заголовок таблицы"/>
    <w:basedOn w:val="afc"/>
    <w:qFormat/>
    <w:pPr>
      <w:jc w:val="center"/>
    </w:pPr>
    <w:rPr>
      <w:b/>
      <w:bCs/>
    </w:rPr>
  </w:style>
  <w:style w:type="paragraph" w:customStyle="1" w:styleId="afe">
    <w:name w:val="Фигура"/>
    <w:basedOn w:val="af5"/>
    <w:qFormat/>
  </w:style>
  <w:style w:type="paragraph" w:customStyle="1" w:styleId="docdata">
    <w:name w:val="docdata"/>
    <w:basedOn w:val="a"/>
    <w:qFormat/>
    <w:pPr>
      <w:spacing w:before="280" w:after="280"/>
    </w:pPr>
    <w:rPr>
      <w:rFonts w:ascii="Times New Roman" w:eastAsia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cyberleninka.ru/article/n/17765767.pdf" TargetMode="Externa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www.pjrc.com/teensy/schematic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189EB7-41B2-435C-8153-E89F9FA798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539</TotalTime>
  <Pages>3</Pages>
  <Words>1090</Words>
  <Characters>6213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Вячеслав Насыров</dc:creator>
  <dc:description/>
  <cp:lastModifiedBy>User</cp:lastModifiedBy>
  <cp:revision>111</cp:revision>
  <dcterms:created xsi:type="dcterms:W3CDTF">2025-03-29T01:40:00Z</dcterms:created>
  <dcterms:modified xsi:type="dcterms:W3CDTF">2025-08-05T05:55:00Z</dcterms:modified>
  <dc:language>ru-RU</dc:language>
</cp:coreProperties>
</file>