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EB" w:rsidRPr="00540935" w:rsidRDefault="00BE16EB" w:rsidP="00540935">
      <w:pPr>
        <w:pStyle w:val="11"/>
        <w:spacing w:line="300" w:lineRule="auto"/>
        <w:ind w:right="566"/>
        <w:jc w:val="both"/>
        <w:rPr>
          <w:rFonts w:ascii="Times New Roman" w:eastAsia="TimesNewRomanPSMT" w:hAnsi="Times New Roman" w:cs="Times New Roman"/>
          <w:color w:val="auto"/>
          <w:lang w:eastAsia="ja-JP"/>
        </w:rPr>
      </w:pPr>
      <w:r w:rsidRPr="00540935">
        <w:rPr>
          <w:rFonts w:ascii="Times New Roman" w:eastAsia="TimesNewRomanPSMT" w:hAnsi="Times New Roman" w:cs="Times New Roman"/>
          <w:color w:val="auto"/>
          <w:lang w:eastAsia="ja-JP"/>
        </w:rPr>
        <w:t>УДК 53.087</w:t>
      </w:r>
    </w:p>
    <w:p w:rsidR="00540935" w:rsidRDefault="00540935" w:rsidP="00540935">
      <w:pPr>
        <w:spacing w:after="0" w:line="300" w:lineRule="auto"/>
        <w:ind w:left="-284" w:right="566" w:firstLine="1844"/>
        <w:jc w:val="center"/>
        <w:rPr>
          <w:rFonts w:ascii="Times New Roman" w:hAnsi="Times New Roman" w:cs="Times New Roman"/>
          <w:b/>
        </w:rPr>
      </w:pPr>
    </w:p>
    <w:p w:rsidR="00540935" w:rsidRDefault="002D7D93" w:rsidP="00540935">
      <w:pPr>
        <w:spacing w:after="0" w:line="300" w:lineRule="auto"/>
        <w:ind w:right="-1"/>
        <w:jc w:val="center"/>
        <w:rPr>
          <w:rFonts w:ascii="Times New Roman" w:hAnsi="Times New Roman" w:cs="Times New Roman"/>
          <w:b/>
        </w:rPr>
      </w:pPr>
      <w:r w:rsidRPr="00540935">
        <w:rPr>
          <w:rFonts w:ascii="Times New Roman" w:hAnsi="Times New Roman" w:cs="Times New Roman"/>
          <w:b/>
        </w:rPr>
        <w:t xml:space="preserve">РЕЗУЛЬТАТЫ ВНЕДРЕНИЯ ПИЛОТНОГО ПРОЕКТА </w:t>
      </w:r>
    </w:p>
    <w:p w:rsidR="00BE16EB" w:rsidRDefault="002D7D93" w:rsidP="00540935">
      <w:pPr>
        <w:spacing w:after="0" w:line="300" w:lineRule="auto"/>
        <w:ind w:right="-1"/>
        <w:jc w:val="center"/>
        <w:rPr>
          <w:rFonts w:ascii="Times New Roman" w:hAnsi="Times New Roman" w:cs="Times New Roman"/>
          <w:b/>
        </w:rPr>
      </w:pPr>
      <w:r w:rsidRPr="00540935">
        <w:rPr>
          <w:rFonts w:ascii="Times New Roman" w:hAnsi="Times New Roman" w:cs="Times New Roman"/>
          <w:b/>
        </w:rPr>
        <w:t>РЕФОРМЫ ВЫСШЕГО ОБРАЗОВАНИЯ</w:t>
      </w:r>
    </w:p>
    <w:p w:rsidR="00540935" w:rsidRPr="00540935" w:rsidRDefault="00540935" w:rsidP="00540935">
      <w:pPr>
        <w:spacing w:after="0" w:line="300" w:lineRule="auto"/>
        <w:ind w:right="-1"/>
        <w:jc w:val="center"/>
        <w:rPr>
          <w:rFonts w:ascii="Times New Roman" w:hAnsi="Times New Roman" w:cs="Times New Roman"/>
          <w:b/>
        </w:rPr>
      </w:pPr>
    </w:p>
    <w:p w:rsidR="00BE16EB" w:rsidRPr="00540935" w:rsidRDefault="00BE16EB" w:rsidP="00540935">
      <w:pPr>
        <w:pStyle w:val="11"/>
        <w:spacing w:line="300" w:lineRule="auto"/>
        <w:ind w:right="-1"/>
        <w:jc w:val="center"/>
        <w:rPr>
          <w:rFonts w:ascii="Times New Roman" w:eastAsia="TimesNewRomanPSMT" w:hAnsi="Times New Roman" w:cs="Times New Roman"/>
          <w:b/>
          <w:color w:val="auto"/>
          <w:lang w:eastAsia="ja-JP"/>
        </w:rPr>
      </w:pPr>
      <w:r w:rsidRPr="00540935">
        <w:rPr>
          <w:rFonts w:ascii="Times New Roman" w:eastAsia="TimesNewRomanPSMT" w:hAnsi="Times New Roman" w:cs="Times New Roman"/>
          <w:b/>
          <w:color w:val="auto"/>
          <w:lang w:eastAsia="ja-JP"/>
        </w:rPr>
        <w:t>И.Б. Копылова</w:t>
      </w:r>
    </w:p>
    <w:p w:rsidR="00BE16EB" w:rsidRPr="00540935" w:rsidRDefault="00BE16EB" w:rsidP="00540935">
      <w:pPr>
        <w:pStyle w:val="11"/>
        <w:spacing w:line="300" w:lineRule="auto"/>
        <w:ind w:right="-1"/>
        <w:jc w:val="center"/>
        <w:rPr>
          <w:rFonts w:ascii="Times New Roman" w:eastAsia="TimesNewRomanPSMT" w:hAnsi="Times New Roman" w:cs="Times New Roman"/>
          <w:i/>
          <w:color w:val="auto"/>
          <w:sz w:val="20"/>
          <w:szCs w:val="20"/>
          <w:lang w:eastAsia="ja-JP"/>
        </w:rPr>
      </w:pPr>
      <w:r w:rsidRPr="00540935">
        <w:rPr>
          <w:rFonts w:ascii="Times New Roman" w:eastAsia="TimesNewRomanPSMT" w:hAnsi="Times New Roman" w:cs="Times New Roman"/>
          <w:i/>
          <w:color w:val="auto"/>
          <w:sz w:val="20"/>
          <w:szCs w:val="20"/>
          <w:lang w:eastAsia="ja-JP"/>
        </w:rPr>
        <w:t>Амурский государственный университет (Благовещенск)</w:t>
      </w:r>
    </w:p>
    <w:p w:rsidR="00BE16EB" w:rsidRPr="00540935" w:rsidRDefault="00721E3B" w:rsidP="00540935">
      <w:pPr>
        <w:pStyle w:val="11"/>
        <w:spacing w:line="300" w:lineRule="auto"/>
        <w:ind w:right="-1"/>
        <w:jc w:val="center"/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</w:pPr>
      <w:hyperlink r:id="rId6" w:history="1">
        <w:r w:rsidR="00BE16EB" w:rsidRPr="00540935">
          <w:rPr>
            <w:rStyle w:val="a3"/>
            <w:rFonts w:ascii="Times New Roman" w:eastAsia="TimesNewRomanPSMT" w:hAnsi="Times New Roman" w:cs="Times New Roman"/>
            <w:i/>
            <w:color w:val="auto"/>
            <w:sz w:val="20"/>
            <w:szCs w:val="20"/>
            <w:u w:val="none"/>
            <w:lang w:val="en-US" w:eastAsia="ja-JP"/>
          </w:rPr>
          <w:t>kopylovaib</w:t>
        </w:r>
        <w:r w:rsidR="00BE16EB" w:rsidRPr="00540935">
          <w:rPr>
            <w:rStyle w:val="a3"/>
            <w:rFonts w:ascii="Times New Roman" w:eastAsia="TimesNewRomanPSMT" w:hAnsi="Times New Roman" w:cs="Times New Roman"/>
            <w:i/>
            <w:color w:val="auto"/>
            <w:sz w:val="20"/>
            <w:szCs w:val="20"/>
            <w:u w:val="none"/>
            <w:lang w:eastAsia="ja-JP"/>
          </w:rPr>
          <w:t>@</w:t>
        </w:r>
        <w:r w:rsidR="00BE16EB" w:rsidRPr="00540935">
          <w:rPr>
            <w:rStyle w:val="a3"/>
            <w:rFonts w:ascii="Times New Roman" w:eastAsia="TimesNewRomanPSMT" w:hAnsi="Times New Roman" w:cs="Times New Roman"/>
            <w:i/>
            <w:color w:val="auto"/>
            <w:sz w:val="20"/>
            <w:szCs w:val="20"/>
            <w:u w:val="none"/>
            <w:lang w:val="en-US" w:eastAsia="ja-JP"/>
          </w:rPr>
          <w:t>mail</w:t>
        </w:r>
        <w:r w:rsidR="00BE16EB" w:rsidRPr="00540935">
          <w:rPr>
            <w:rStyle w:val="a3"/>
            <w:rFonts w:ascii="Times New Roman" w:eastAsia="TimesNewRomanPSMT" w:hAnsi="Times New Roman" w:cs="Times New Roman"/>
            <w:i/>
            <w:color w:val="auto"/>
            <w:sz w:val="20"/>
            <w:szCs w:val="20"/>
            <w:u w:val="none"/>
            <w:lang w:eastAsia="ja-JP"/>
          </w:rPr>
          <w:t>.</w:t>
        </w:r>
        <w:proofErr w:type="spellStart"/>
        <w:r w:rsidR="00BE16EB" w:rsidRPr="00540935">
          <w:rPr>
            <w:rStyle w:val="a3"/>
            <w:rFonts w:ascii="Times New Roman" w:eastAsia="TimesNewRomanPSMT" w:hAnsi="Times New Roman" w:cs="Times New Roman"/>
            <w:i/>
            <w:color w:val="auto"/>
            <w:sz w:val="20"/>
            <w:szCs w:val="20"/>
            <w:u w:val="none"/>
            <w:lang w:val="en-US" w:eastAsia="ja-JP"/>
          </w:rPr>
          <w:t>ru</w:t>
        </w:r>
        <w:proofErr w:type="spellEnd"/>
      </w:hyperlink>
    </w:p>
    <w:p w:rsidR="00F66005" w:rsidRPr="00540935" w:rsidRDefault="00F66005" w:rsidP="00540935">
      <w:pPr>
        <w:pStyle w:val="11"/>
        <w:spacing w:line="300" w:lineRule="auto"/>
        <w:ind w:right="566"/>
        <w:jc w:val="both"/>
        <w:rPr>
          <w:rStyle w:val="a3"/>
          <w:rFonts w:ascii="Times New Roman" w:eastAsia="TimesNewRomanPSMT" w:hAnsi="Times New Roman" w:cs="Times New Roman"/>
          <w:i/>
          <w:color w:val="auto"/>
          <w:u w:val="none"/>
          <w:lang w:eastAsia="ja-JP"/>
        </w:rPr>
      </w:pPr>
    </w:p>
    <w:p w:rsidR="00F66005" w:rsidRPr="00540935" w:rsidRDefault="00902932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С 1 сентября 2026 года </w:t>
      </w:r>
      <w:r w:rsidR="00F66005"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планируется </w:t>
      </w:r>
      <w:r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постепенный </w:t>
      </w:r>
      <w:r w:rsidR="00F66005"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>переход на нову</w:t>
      </w:r>
      <w:r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ю систему высшего образования вузов </w:t>
      </w:r>
      <w:r w:rsidR="00F66005"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России. </w:t>
      </w:r>
      <w:r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Планируется постепенный </w:t>
      </w:r>
      <w:r w:rsidR="00BC41F1"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>переход всех вузов до 2030 года</w:t>
      </w:r>
      <w:r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. С 2023 года осуществляется пилотный проект перехода, в котором участвуют 6 вузов страны. Данный проект </w:t>
      </w:r>
      <w:r w:rsidR="00BC41F1"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>выявил на сегодняшний момент</w:t>
      </w:r>
      <w:r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 </w:t>
      </w:r>
      <w:r w:rsidR="00BC41F1"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 xml:space="preserve">преимущества новой системы, </w:t>
      </w:r>
      <w:r w:rsidRPr="00540935">
        <w:rPr>
          <w:rStyle w:val="a3"/>
          <w:rFonts w:ascii="Times New Roman" w:eastAsia="TimesNewRomanPSMT" w:hAnsi="Times New Roman" w:cs="Times New Roman"/>
          <w:i/>
          <w:color w:val="auto"/>
          <w:sz w:val="20"/>
          <w:szCs w:val="20"/>
          <w:u w:val="none"/>
          <w:lang w:eastAsia="ja-JP"/>
        </w:rPr>
        <w:t>недостатки и проблемы.</w:t>
      </w:r>
    </w:p>
    <w:p w:rsidR="00F66005" w:rsidRPr="00540935" w:rsidRDefault="00F66005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</w:p>
    <w:p w:rsidR="00677B8E" w:rsidRPr="00540935" w:rsidRDefault="00DC66EF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Необходимость реформы высшего образования обусловлена несколькими причинами: выход из Болонской системы, необходимость дальнейшего обучения выпускника, </w:t>
      </w:r>
      <w:r w:rsidR="00DC46D6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сделать образовательные траектории более по</w:t>
      </w:r>
      <w:r w:rsidR="00677B8E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нятными для студентов. </w:t>
      </w:r>
      <w:r w:rsid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Двадцать </w:t>
      </w:r>
      <w:r w:rsidR="00DC46D6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лет обучения по Болонской системе показали, что она не обеспечивает подготовку </w:t>
      </w:r>
      <w:r w:rsidR="00677B8E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высококвалифицированных специалистов, которые должны обеспечивать работу современной промышленности, развитие технологий и экономики. Дипломы вузов страны не принимались в странах Евросоюза</w:t>
      </w:r>
      <w:r w:rsidR="00D751E5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="00D751E5" w:rsidRPr="00540935">
        <w:rPr>
          <w:rFonts w:ascii="Times New Roman" w:hAnsi="Times New Roman" w:cs="Times New Roman"/>
        </w:rPr>
        <w:t>[1]</w:t>
      </w:r>
      <w:r w:rsidR="00677B8E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. </w:t>
      </w:r>
    </w:p>
    <w:p w:rsidR="00D234AA" w:rsidRPr="00721E3B" w:rsidRDefault="00677B8E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Качество подготовки выпус</w:t>
      </w:r>
      <w:r w:rsidR="00EF60BD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кников, за редким исключением,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не удовлетворяло работодателей. Работодатели были вынуждены осуществлять переподготовку вчерашних выпускников. Магистратура не всегда могла решить задачу обучения уже готового к работе на предприятии специалиста. В таких условиях у выпускников возникали серьезные проблемы с трудоустройством. </w:t>
      </w:r>
      <w:r w:rsidR="00D234A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Что касается системы подготовки, то студенты порой не </w:t>
      </w:r>
      <w:proofErr w:type="gramStart"/>
      <w:r w:rsidR="00D234A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представляли</w:t>
      </w:r>
      <w:proofErr w:type="gramEnd"/>
      <w:r w:rsidR="00D234A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где и на каких должностях они будут работать, а, главное, что же необходимо знать и как практически выполнять свою работу. Сокращенный срок подготовки в бакалавриате привел к тому, что выпускникам не хватало как теоретических знаний, так и практических навыков</w:t>
      </w:r>
      <w:r w:rsidR="00096F57" w:rsidRPr="00540935">
        <w:rPr>
          <w:rFonts w:ascii="Times New Roman" w:hAnsi="Times New Roman" w:cs="Times New Roman"/>
        </w:rPr>
        <w:t>.</w:t>
      </w:r>
    </w:p>
    <w:p w:rsidR="00677B8E" w:rsidRPr="00540935" w:rsidRDefault="00096F57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Что же предполагает новая система образования? Новая система предполагает три уровня образования: базовое, специальное и профессиональное. Базовый уровень предполагает обучение в течение 4-6 лет и является по </w:t>
      </w:r>
      <w:r w:rsidR="00987B3D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сути полным высшим образованием.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="00D80A2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При этом предполагается получение те</w:t>
      </w:r>
      <w:r w:rsidR="00B823C0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оретических знаний в течении 2-4</w:t>
      </w:r>
      <w:r w:rsidR="00D80A2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="00B823C0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года </w:t>
      </w:r>
      <w:r w:rsidR="00D80A2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по дисциплинам, необходимым для освоения основной специальности. Затем обучение 1-</w:t>
      </w:r>
      <w:r w:rsidR="00D87CAC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3</w:t>
      </w:r>
      <w:r w:rsidR="00D80A2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года для получения специальных и практических знаний. Подготовка по некоторым направлениям таким как инженер-исследователь по различным дисциплинам</w:t>
      </w:r>
      <w:r w:rsidR="00D87CAC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="00D80A2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(</w:t>
      </w:r>
      <w:r w:rsidR="00D87CAC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химик, физик</w:t>
      </w:r>
      <w:r w:rsidR="00D80A2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) требует более длительного обучения. </w:t>
      </w:r>
    </w:p>
    <w:p w:rsidR="003145D8" w:rsidRPr="00540935" w:rsidRDefault="00D87CAC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Специализированный уровень предполагает еще и получения дополнительных или более расширенных знаний по конкретной специальности, что приводит к увеличению срока обучения. </w:t>
      </w:r>
      <w:r w:rsidR="00E119D4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Это еще и получение знаний по более узкой специализации.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В каком- то смысле это соответствует современной магистратуре.</w:t>
      </w:r>
      <w:r w:rsidR="00721E3B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Профессиональный уровень фактически соответствует аспирантуре. Поступить на этот уровень можно только имея базовый уровень подготовки. </w:t>
      </w:r>
      <w:r w:rsidR="00FC5AC8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Кроме того, можно прервать обучение после получения базового уровня, а затем получить специализированный или профессиональный уровень. Также возможен выбор между академической и прикладной специализацией. Предполагается, что выпускники с профессиональным уровнем могут работать в научной сфере, в качестве преподавателей высшей школы.</w:t>
      </w:r>
    </w:p>
    <w:p w:rsidR="00FC5AC8" w:rsidRPr="00540935" w:rsidRDefault="00FC5AC8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При разработке новых стандартов сохранится компетентностный подход с практико-ориентированным направлением обучения. </w:t>
      </w:r>
      <w:r w:rsidR="00553390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Это означает, что образовательные программы делают акцент на </w:t>
      </w:r>
      <w:r w:rsidR="00553390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lastRenderedPageBreak/>
        <w:t>практических навыках необходимых в профессии. Проектная работа значительно расширяется и направлена на решение практических задач, что подразумевает тесное взаимодействие с работодателями, предусмотрены стажировки для студентов. Оценка за освоение дисциплины будет учитывать не только результаты экзамена, но и проектов, выполненных в процессе освоения дисциплины, а также результатов портфолио.</w:t>
      </w:r>
    </w:p>
    <w:p w:rsidR="005473E8" w:rsidRPr="00540935" w:rsidRDefault="005473E8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Таким образом, выпускник, имея подготовку по требованиям работодателя, будет готов сразу приступить к работе по специальности. Это освободит работодателя от переподготовки выпускника, закрытию вакансий и кадрового дефицита.</w:t>
      </w:r>
    </w:p>
    <w:p w:rsidR="00987B3D" w:rsidRPr="00721E3B" w:rsidRDefault="00987B3D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highlight w:val="yellow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Введение трехуровневой системы образования предполагает еще и отказ от прежних терминов и понятий. Полностью исчезнут понятия бакалавриат и магистратура после полного перехода на новые стандарты. Пока же студенты, осваивающие программы бакалавриата и магистратуры будут продолжать обучение и дипломы, полученные в конце обучения, будут</w:t>
      </w:r>
      <w:r w:rsidR="003716EE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,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по</w:t>
      </w:r>
      <w:r w:rsidR="00B6439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-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прежнему</w:t>
      </w:r>
      <w:r w:rsidR="003716EE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,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иметь вес диплома о высшем образовании. </w:t>
      </w:r>
      <w:r w:rsidR="00252B35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Время обучения увеличивается</w:t>
      </w:r>
      <w:r w:rsidR="00E84A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, изменятся цифры</w:t>
      </w:r>
      <w:r w:rsidR="00B6439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приема, число бюджетных мест, </w:t>
      </w:r>
      <w:r w:rsidR="00E84A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финансирование обучения.</w:t>
      </w:r>
      <w:r w:rsidR="003716EE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Единый государственный экзамен</w:t>
      </w:r>
      <w:r w:rsidR="008D0037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(ЕГЭ)</w:t>
      </w:r>
      <w:r w:rsidR="003716EE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="00B6439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сохранит свою значимость и будет являться основанием для поступления в высшие учебные заведения.</w:t>
      </w:r>
      <w:r w:rsidR="008D0037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Большое значение будет иметь портфолио абитуриента, в котором отмечается участие в олимпиадах, конкурсах, проектах, стажировки, волонтерство с ориентацией на выбранную профессию (пример: в сфере улучшения экологии окружающей среды), а также наличие сертификатов о прохождении различных онлайн курсов</w:t>
      </w:r>
      <w:r w:rsidR="008D0037" w:rsidRPr="00721E3B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.</w:t>
      </w:r>
      <w:r w:rsidR="00721E3B" w:rsidRPr="00721E3B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Pr="00721E3B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Форма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диплома </w:t>
      </w:r>
      <w:r w:rsidR="00E84A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также изменится, в </w:t>
      </w:r>
      <w:r w:rsidR="00AF236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диплом</w:t>
      </w:r>
      <w:r w:rsidR="00E84A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е будет указываться</w:t>
      </w:r>
      <w:r w:rsidR="00AF236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специа</w:t>
      </w:r>
      <w:r w:rsidR="00E84A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льность </w:t>
      </w:r>
      <w:r w:rsidR="00AF236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выпускника.</w:t>
      </w:r>
      <w:r w:rsidR="00B6439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</w:p>
    <w:p w:rsidR="00974348" w:rsidRPr="00540935" w:rsidRDefault="00546788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К недостаткам отказа от бак</w:t>
      </w:r>
      <w:r w:rsidR="00B845EF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алавриата относится прежде всего увеличение сроков обучения </w:t>
      </w:r>
      <w:r w:rsidR="00B6439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и усложнение обучающих программ. </w:t>
      </w:r>
    </w:p>
    <w:p w:rsidR="009A2281" w:rsidRPr="00540935" w:rsidRDefault="009A2281" w:rsidP="00721E3B">
      <w:pPr>
        <w:spacing w:after="0" w:line="300" w:lineRule="auto"/>
        <w:ind w:right="-1" w:firstLine="710"/>
        <w:jc w:val="both"/>
        <w:rPr>
          <w:rFonts w:ascii="Times New Roman" w:hAnsi="Times New Roman" w:cs="Times New Roman"/>
          <w:color w:val="000000" w:themeColor="text1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Для</w:t>
      </w:r>
      <w:r w:rsidR="005A1CFD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тестирования </w:t>
      </w:r>
      <w:r w:rsidR="003145D8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новой системы образования в 2023 году в России был введен пилотный проект, в котором приняли участие 6 вузов страны: </w:t>
      </w:r>
      <w:hyperlink r:id="rId7" w:history="1">
        <w:r w:rsidR="003145D8" w:rsidRPr="0054093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Национальный исследовательский технологический университет «МИСИС»</w:t>
        </w:r>
      </w:hyperlink>
      <w:r w:rsidR="003145D8" w:rsidRPr="00540935">
        <w:rPr>
          <w:rFonts w:ascii="Times New Roman" w:hAnsi="Times New Roman" w:cs="Times New Roman"/>
          <w:color w:val="000000" w:themeColor="text1"/>
        </w:rPr>
        <w:t xml:space="preserve">; </w:t>
      </w:r>
      <w:hyperlink r:id="rId8" w:history="1">
        <w:r w:rsidR="003145D8" w:rsidRPr="0054093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Московский авиационный институт</w:t>
        </w:r>
      </w:hyperlink>
      <w:r w:rsidR="003145D8" w:rsidRPr="00540935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(МАИ)</w:t>
      </w:r>
      <w:r w:rsidR="003145D8" w:rsidRPr="00540935">
        <w:rPr>
          <w:rFonts w:ascii="Times New Roman" w:hAnsi="Times New Roman" w:cs="Times New Roman"/>
          <w:color w:val="000000" w:themeColor="text1"/>
        </w:rPr>
        <w:t xml:space="preserve">; </w:t>
      </w:r>
      <w:hyperlink r:id="rId9" w:history="1">
        <w:r w:rsidR="003145D8" w:rsidRPr="0054093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Национальный исследовательский Томский государственный университет</w:t>
        </w:r>
      </w:hyperlink>
      <w:r w:rsidR="003145D8" w:rsidRPr="00540935">
        <w:rPr>
          <w:rFonts w:ascii="Times New Roman" w:hAnsi="Times New Roman" w:cs="Times New Roman"/>
          <w:color w:val="000000" w:themeColor="text1"/>
        </w:rPr>
        <w:t xml:space="preserve">; </w:t>
      </w:r>
      <w:hyperlink r:id="rId10" w:history="1">
        <w:r w:rsidR="003145D8" w:rsidRPr="0054093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Московский педагогический государственный университет</w:t>
        </w:r>
      </w:hyperlink>
      <w:r w:rsidR="003145D8" w:rsidRPr="00540935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(МПГУ)</w:t>
      </w:r>
      <w:r w:rsidR="003145D8" w:rsidRPr="00540935">
        <w:rPr>
          <w:rFonts w:ascii="Times New Roman" w:hAnsi="Times New Roman" w:cs="Times New Roman"/>
          <w:color w:val="000000" w:themeColor="text1"/>
        </w:rPr>
        <w:t xml:space="preserve">; </w:t>
      </w:r>
      <w:hyperlink r:id="rId11" w:history="1">
        <w:r w:rsidR="003145D8" w:rsidRPr="0054093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Балтийский федеральный университет имени Иммануила Канта</w:t>
        </w:r>
      </w:hyperlink>
      <w:r w:rsidR="003145D8" w:rsidRPr="00540935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(БФУ)</w:t>
      </w:r>
      <w:r w:rsidR="003145D8" w:rsidRPr="00540935">
        <w:rPr>
          <w:rFonts w:ascii="Times New Roman" w:hAnsi="Times New Roman" w:cs="Times New Roman"/>
          <w:color w:val="000000" w:themeColor="text1"/>
        </w:rPr>
        <w:t xml:space="preserve">; </w:t>
      </w:r>
      <w:hyperlink r:id="rId12" w:history="1">
        <w:r w:rsidR="003145D8" w:rsidRPr="00540935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Санкт-Петербургский горный университет императрицы Екатерины II</w:t>
        </w:r>
      </w:hyperlink>
      <w:r w:rsidR="003145D8" w:rsidRPr="00540935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(СПГУ)</w:t>
      </w:r>
      <w:r w:rsidR="00895E6E" w:rsidRPr="00540935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95E6E" w:rsidRPr="00540935">
        <w:rPr>
          <w:rFonts w:ascii="Times New Roman" w:hAnsi="Times New Roman" w:cs="Times New Roman"/>
        </w:rPr>
        <w:t>[2]</w:t>
      </w:r>
      <w:r w:rsidR="003145D8" w:rsidRPr="00540935">
        <w:rPr>
          <w:rFonts w:ascii="Times New Roman" w:hAnsi="Times New Roman" w:cs="Times New Roman"/>
          <w:color w:val="000000" w:themeColor="text1"/>
        </w:rPr>
        <w:t>.</w:t>
      </w:r>
      <w:r w:rsidRPr="00540935">
        <w:rPr>
          <w:rFonts w:ascii="Times New Roman" w:hAnsi="Times New Roman" w:cs="Times New Roman"/>
          <w:color w:val="000000" w:themeColor="text1"/>
        </w:rPr>
        <w:t xml:space="preserve"> </w:t>
      </w:r>
    </w:p>
    <w:p w:rsidR="00D23719" w:rsidRPr="00540935" w:rsidRDefault="009A2281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000000" w:themeColor="text1"/>
          <w:u w:val="none"/>
          <w:lang w:eastAsia="ja-JP"/>
        </w:rPr>
      </w:pPr>
      <w:r w:rsidRPr="00540935">
        <w:rPr>
          <w:rFonts w:ascii="Times New Roman" w:hAnsi="Times New Roman" w:cs="Times New Roman"/>
          <w:color w:val="000000" w:themeColor="text1"/>
        </w:rPr>
        <w:t>Вышеперечисленные вузы начали подготовку по новым стандартам, на обучение поступили около 12 тысяч студентов.</w:t>
      </w:r>
      <w:r w:rsidR="00895E6E" w:rsidRPr="00540935">
        <w:rPr>
          <w:rFonts w:ascii="Times New Roman" w:hAnsi="Times New Roman" w:cs="Times New Roman"/>
          <w:color w:val="000000" w:themeColor="text1"/>
        </w:rPr>
        <w:t xml:space="preserve"> В вузах также продолжается обучение по системе бакалавриата. Студенты, которые обучались на бакалавриате имеют возможность перейти на новую систему обучения. В общем система подготовки в настоящее время выглядит следующим образом (табл</w:t>
      </w:r>
      <w:r w:rsidR="00540935">
        <w:rPr>
          <w:rFonts w:ascii="Times New Roman" w:hAnsi="Times New Roman" w:cs="Times New Roman"/>
          <w:color w:val="000000" w:themeColor="text1"/>
        </w:rPr>
        <w:t>.</w:t>
      </w:r>
      <w:r w:rsidR="00895E6E" w:rsidRPr="00540935">
        <w:rPr>
          <w:rFonts w:ascii="Times New Roman" w:hAnsi="Times New Roman" w:cs="Times New Roman"/>
          <w:color w:val="000000" w:themeColor="text1"/>
        </w:rPr>
        <w:t xml:space="preserve">) </w:t>
      </w:r>
      <w:r w:rsidR="00895E6E" w:rsidRPr="00540935">
        <w:rPr>
          <w:rFonts w:ascii="Times New Roman" w:hAnsi="Times New Roman" w:cs="Times New Roman"/>
        </w:rPr>
        <w:t>[3]</w:t>
      </w:r>
      <w:r w:rsidR="00895E6E" w:rsidRPr="00540935">
        <w:rPr>
          <w:rFonts w:ascii="Times New Roman" w:hAnsi="Times New Roman" w:cs="Times New Roman"/>
          <w:color w:val="000000" w:themeColor="text1"/>
        </w:rPr>
        <w:t>.</w:t>
      </w:r>
      <w:r w:rsidR="00974348" w:rsidRPr="00540935">
        <w:rPr>
          <w:rFonts w:ascii="Times New Roman" w:hAnsi="Times New Roman" w:cs="Times New Roman"/>
          <w:color w:val="000000" w:themeColor="text1"/>
        </w:rPr>
        <w:t xml:space="preserve"> Кроме того, данным вуза предоставлено право на разработку и реализацию собственных образовательных стандартов.</w:t>
      </w:r>
    </w:p>
    <w:p w:rsidR="00721E3B" w:rsidRPr="00540935" w:rsidRDefault="00721E3B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Пилотный проект призван не только протестировать новые образовательные стандарты, улучшить подготовку выпускников, но ввести в образование новые методы и методики обучения с использованием современных информационных технологий. Это особенно важно для развития современной промышленности, науки, системы управления. </w:t>
      </w:r>
    </w:p>
    <w:p w:rsidR="00721E3B" w:rsidRPr="00540935" w:rsidRDefault="00721E3B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Можно привести только некоторые основные подходы в этом направлении. Прежде всего – это </w:t>
      </w:r>
      <w:proofErr w:type="spellStart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цифротизация</w:t>
      </w:r>
      <w:proofErr w:type="spellEnd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, то есть внедрение цифровых технологий в учебный процесс, создание образовательных платформ для освоения учебных дисциплин, создание цифровых тренажеров, использование гибридных форм обучения. Наличие таких средств обучения позволит студентам осваивать примерно 50% дисциплин дистанционно. При этом необходимо индивидуально контролировать качество усвоения материала преподавателем, что приведет к </w:t>
      </w:r>
      <w:proofErr w:type="spellStart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персонизации</w:t>
      </w:r>
      <w:proofErr w:type="spellEnd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и доступности обучения. Практические же навыки будут осваиваться только в аудитории или во время практики на профильных предприятиях. Но здесь возникает проблема технической оснащенности вузов и наличие преподавателей практиков.</w:t>
      </w:r>
    </w:p>
    <w:p w:rsidR="00721E3B" w:rsidRPr="00540935" w:rsidRDefault="00721E3B" w:rsidP="00721E3B">
      <w:pPr>
        <w:pStyle w:val="11"/>
        <w:spacing w:line="300" w:lineRule="auto"/>
        <w:ind w:right="-1" w:firstLine="709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Следующее направление – это разработка интерактивных методик таких как симуляции, задачи, которые решаются в команде, выполнение проектов, введение рейтингов и бальной системы. Все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lastRenderedPageBreak/>
        <w:t xml:space="preserve">эти методики направлены на лучшее усвоение материала. Развитие </w:t>
      </w:r>
      <w:proofErr w:type="spellStart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надпрофессиональных</w:t>
      </w:r>
      <w:proofErr w:type="spellEnd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навыков, не связанных с выбранной профессией, но влияющих на карьеру, так они </w:t>
      </w:r>
      <w:proofErr w:type="gramStart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в связаны</w:t>
      </w:r>
      <w:proofErr w:type="gramEnd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с навыками коммуникации и поведение в социуме - это так называемые софт-</w:t>
      </w:r>
      <w:proofErr w:type="spellStart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скилы</w:t>
      </w:r>
      <w:proofErr w:type="spellEnd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, также является важным аспектом подготовки современного выпускника.</w:t>
      </w:r>
    </w:p>
    <w:p w:rsidR="004F751D" w:rsidRPr="00540935" w:rsidRDefault="008A127C" w:rsidP="00721E3B">
      <w:pPr>
        <w:spacing w:after="0" w:line="300" w:lineRule="auto"/>
        <w:ind w:right="-1"/>
        <w:jc w:val="center"/>
        <w:rPr>
          <w:rFonts w:ascii="Times New Roman" w:hAnsi="Times New Roman" w:cs="Times New Roman"/>
          <w:b/>
        </w:rPr>
      </w:pPr>
      <w:r w:rsidRPr="00540935">
        <w:rPr>
          <w:rFonts w:ascii="Times New Roman" w:hAnsi="Times New Roman" w:cs="Times New Roman"/>
          <w:b/>
        </w:rPr>
        <w:t>Система подготовки в 2025-2029 учебных годах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3"/>
        <w:gridCol w:w="1749"/>
        <w:gridCol w:w="1418"/>
        <w:gridCol w:w="1843"/>
        <w:gridCol w:w="1559"/>
        <w:gridCol w:w="1417"/>
      </w:tblGrid>
      <w:tr w:rsidR="004F751D" w:rsidRPr="00540935" w:rsidTr="00721E3B">
        <w:tc>
          <w:tcPr>
            <w:tcW w:w="1653" w:type="dxa"/>
          </w:tcPr>
          <w:p w:rsidR="00721E3B" w:rsidRDefault="004F751D" w:rsidP="00540935">
            <w:pPr>
              <w:spacing w:line="30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 xml:space="preserve">Уровень </w:t>
            </w:r>
          </w:p>
          <w:p w:rsidR="004F751D" w:rsidRPr="00540935" w:rsidRDefault="004F751D" w:rsidP="00540935">
            <w:pPr>
              <w:spacing w:line="30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49" w:type="dxa"/>
          </w:tcPr>
          <w:p w:rsidR="004F751D" w:rsidRPr="00540935" w:rsidRDefault="004F751D" w:rsidP="00540935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>Срок обучения,</w:t>
            </w:r>
          </w:p>
          <w:p w:rsidR="004F751D" w:rsidRPr="00540935" w:rsidRDefault="004F751D" w:rsidP="00540935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</w:tcPr>
          <w:p w:rsidR="00721E3B" w:rsidRDefault="004F751D" w:rsidP="00540935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 xml:space="preserve">Условие </w:t>
            </w:r>
          </w:p>
          <w:p w:rsidR="004F751D" w:rsidRPr="00540935" w:rsidRDefault="004F751D" w:rsidP="00540935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43" w:type="dxa"/>
          </w:tcPr>
          <w:p w:rsidR="00721E3B" w:rsidRDefault="004F751D" w:rsidP="00540935">
            <w:pPr>
              <w:spacing w:line="30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>Результат</w:t>
            </w:r>
          </w:p>
          <w:p w:rsidR="004F751D" w:rsidRPr="00540935" w:rsidRDefault="004F751D" w:rsidP="00540935">
            <w:pPr>
              <w:spacing w:line="30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559" w:type="dxa"/>
          </w:tcPr>
          <w:p w:rsidR="004F751D" w:rsidRPr="00540935" w:rsidRDefault="00546788" w:rsidP="00540935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>Трудо</w:t>
            </w:r>
            <w:r w:rsidR="004F751D" w:rsidRPr="00540935">
              <w:rPr>
                <w:rFonts w:ascii="Times New Roman" w:hAnsi="Times New Roman" w:cs="Times New Roman"/>
              </w:rPr>
              <w:t>устройство</w:t>
            </w:r>
          </w:p>
        </w:tc>
        <w:tc>
          <w:tcPr>
            <w:tcW w:w="1417" w:type="dxa"/>
          </w:tcPr>
          <w:p w:rsidR="004F751D" w:rsidRPr="00540935" w:rsidRDefault="004F751D" w:rsidP="00540935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540935">
              <w:rPr>
                <w:rFonts w:ascii="Times New Roman" w:hAnsi="Times New Roman" w:cs="Times New Roman"/>
              </w:rPr>
              <w:t>Дальнейшее обучение</w:t>
            </w:r>
          </w:p>
        </w:tc>
      </w:tr>
      <w:tr w:rsidR="004F751D" w:rsidRPr="00540935" w:rsidTr="00721E3B">
        <w:tc>
          <w:tcPr>
            <w:tcW w:w="1653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749" w:type="dxa"/>
          </w:tcPr>
          <w:p w:rsidR="004F751D" w:rsidRPr="00540935" w:rsidRDefault="00F920A0" w:rsidP="007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418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После сдачи ЕГЭ</w:t>
            </w:r>
          </w:p>
        </w:tc>
        <w:tc>
          <w:tcPr>
            <w:tcW w:w="1843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Общетеоретическая подготовка. Практика, рабочие навыки</w:t>
            </w:r>
          </w:p>
        </w:tc>
        <w:tc>
          <w:tcPr>
            <w:tcW w:w="1559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Рабочие позиции (специалист, техник)</w:t>
            </w:r>
          </w:p>
        </w:tc>
        <w:tc>
          <w:tcPr>
            <w:tcW w:w="1417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Специализированный уровень</w:t>
            </w:r>
          </w:p>
        </w:tc>
      </w:tr>
      <w:tr w:rsidR="004F751D" w:rsidRPr="00540935" w:rsidTr="00721E3B">
        <w:tc>
          <w:tcPr>
            <w:tcW w:w="1653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749" w:type="dxa"/>
          </w:tcPr>
          <w:p w:rsidR="004F751D" w:rsidRPr="00540935" w:rsidRDefault="004F751D" w:rsidP="007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После сдачи ЕГЭ</w:t>
            </w:r>
          </w:p>
        </w:tc>
        <w:tc>
          <w:tcPr>
            <w:tcW w:w="1843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Теория и базовая специализация</w:t>
            </w:r>
          </w:p>
        </w:tc>
        <w:tc>
          <w:tcPr>
            <w:tcW w:w="1559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Более широкие возможности</w:t>
            </w:r>
          </w:p>
        </w:tc>
        <w:tc>
          <w:tcPr>
            <w:tcW w:w="1417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</w:tr>
      <w:tr w:rsidR="004F751D" w:rsidRPr="00540935" w:rsidTr="00721E3B">
        <w:tc>
          <w:tcPr>
            <w:tcW w:w="1653" w:type="dxa"/>
          </w:tcPr>
          <w:p w:rsidR="004F751D" w:rsidRPr="00540935" w:rsidRDefault="00546788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Специализи</w:t>
            </w:r>
            <w:r w:rsidR="004F751D" w:rsidRPr="00540935">
              <w:rPr>
                <w:rFonts w:ascii="Times New Roman" w:hAnsi="Times New Roman" w:cs="Times New Roman"/>
                <w:sz w:val="20"/>
                <w:szCs w:val="20"/>
              </w:rPr>
              <w:t>рованный уровень</w:t>
            </w:r>
          </w:p>
        </w:tc>
        <w:tc>
          <w:tcPr>
            <w:tcW w:w="1749" w:type="dxa"/>
          </w:tcPr>
          <w:p w:rsidR="004F751D" w:rsidRPr="00540935" w:rsidRDefault="004F751D" w:rsidP="007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418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843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Практика, узкая специал</w:t>
            </w:r>
            <w:bookmarkStart w:id="0" w:name="_GoBack"/>
            <w:bookmarkEnd w:id="0"/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изация</w:t>
            </w:r>
          </w:p>
        </w:tc>
        <w:tc>
          <w:tcPr>
            <w:tcW w:w="1559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Более высокие позиции (руководитель, эксперт,)</w:t>
            </w:r>
          </w:p>
        </w:tc>
        <w:tc>
          <w:tcPr>
            <w:tcW w:w="1417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Аспирантура, МВА (магистр делового администрирования)</w:t>
            </w:r>
          </w:p>
        </w:tc>
      </w:tr>
      <w:tr w:rsidR="004F751D" w:rsidRPr="00540935" w:rsidTr="00721E3B">
        <w:tc>
          <w:tcPr>
            <w:tcW w:w="1653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1749" w:type="dxa"/>
          </w:tcPr>
          <w:p w:rsidR="004F751D" w:rsidRPr="00540935" w:rsidRDefault="004F751D" w:rsidP="007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Только бакалавриат</w:t>
            </w:r>
          </w:p>
        </w:tc>
        <w:tc>
          <w:tcPr>
            <w:tcW w:w="1843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Теория, наука или управление</w:t>
            </w:r>
          </w:p>
        </w:tc>
        <w:tc>
          <w:tcPr>
            <w:tcW w:w="1559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Наука, гос. сектор</w:t>
            </w:r>
          </w:p>
        </w:tc>
        <w:tc>
          <w:tcPr>
            <w:tcW w:w="1417" w:type="dxa"/>
          </w:tcPr>
          <w:p w:rsidR="004F751D" w:rsidRPr="00540935" w:rsidRDefault="004F751D" w:rsidP="005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935"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</w:p>
        </w:tc>
      </w:tr>
    </w:tbl>
    <w:p w:rsidR="007B526E" w:rsidRPr="00540935" w:rsidRDefault="007B526E" w:rsidP="00721E3B">
      <w:pPr>
        <w:pStyle w:val="11"/>
        <w:spacing w:before="120" w:line="300" w:lineRule="auto"/>
        <w:ind w:firstLine="709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proofErr w:type="spellStart"/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Междисциплинарность</w:t>
      </w:r>
      <w:proofErr w:type="spellEnd"/>
      <w:r w:rsidR="005F4B64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, то есть интеграция знаний и методов различных дисциплин для решения конкретных задач необходима для подготовки по многим специальностям.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Многие профессии в настоящее время требуют освоение дисциплин на стыке наук.   </w:t>
      </w:r>
      <w:r w:rsidR="005F4B64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Этот подход приводит к выработке критического мышления, способности осваивать смежные специальности или совершенствовать выбранную специ</w:t>
      </w:r>
      <w:r w:rsidR="00B40AA3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а</w:t>
      </w:r>
      <w:r w:rsidR="005F4B64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льность.</w:t>
      </w:r>
    </w:p>
    <w:p w:rsidR="00254047" w:rsidRPr="00540935" w:rsidRDefault="00974348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Лидером реализации пилотного проекта является </w:t>
      </w:r>
      <w:r w:rsidR="00AF591C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Санкт-Петербургский горный университет, где уже реализуется 81 программа. Усилена теоретическая подготовка, особенно на инженерных направлениях. Расширена также практическая подготовка, устанавливаются связи с работодателями для расширения баз практики. </w:t>
      </w:r>
    </w:p>
    <w:p w:rsidR="00F66005" w:rsidRPr="00540935" w:rsidRDefault="00AF591C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Итоги двух лет развития пилотного проекта были приведены на информационных сайтах ректорами всех шести вузов. Все руководители </w:t>
      </w:r>
      <w:r w:rsidR="003C63DB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отметили, что у студентов пилотного проекта более высокий балл ЕГЭ, более высокая успеваемость, заинтересованность в обучении и успешном завершении проекта. Расширение образовательных программ, формирование новой образовательной среды, усиленная теоретическая подготовка, расширение связей с работодателями, модернизация аспирантуры с ориентацией на обязательную защиту и подготовку преподавателей высшей школы. </w:t>
      </w:r>
    </w:p>
    <w:p w:rsidR="00CD4247" w:rsidRPr="00540935" w:rsidRDefault="00CD4247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Студенты, которые участвуют в проекте отмечают, что информации о проекте практически не было и они получили информацию при поступлении. При этом была возможность поступить на бакалавриат. Студенты, поступившие ранее, могли принять участие в проекте, написав заявление о переводе</w:t>
      </w:r>
      <w:r w:rsidR="006F7909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. Таким студентам </w:t>
      </w:r>
      <w:r w:rsidR="00485FC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были перезачтены</w:t>
      </w:r>
      <w:r w:rsidR="006F7909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некоторые дисциплины, изученные ранее.</w:t>
      </w:r>
    </w:p>
    <w:p w:rsidR="006F7909" w:rsidRPr="00540935" w:rsidRDefault="006F7909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По истечении двух лет обучения студенты</w:t>
      </w:r>
      <w:r w:rsidR="00CE1E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констатируют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, что пока не видят особых отличий от бакалавриата. Однако, отличия все же есть: больший объем информации по изучаемой дисциплине, больше семинаров и практических занятий. </w:t>
      </w:r>
      <w:r w:rsidR="00CE1E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Сессии проходят также как на бакалавриате, но количество зачетов и экзаменов увеличилось, это связано с тем, что дисциплина может изучаться в течение нескольких семестров.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Дисциплины общетеоретической подготовки преподаются для нескольких специальностей или курса.</w:t>
      </w:r>
      <w:r w:rsidR="0083063A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</w:t>
      </w:r>
      <w:r w:rsidR="00CE1E4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Участие в эксперименте стимулирует интерес к учебе.</w:t>
      </w:r>
    </w:p>
    <w:p w:rsidR="007578B5" w:rsidRPr="00540935" w:rsidRDefault="00C235E9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Преподаватели, участвующие в проекте</w:t>
      </w:r>
      <w:r w:rsidR="00B823C0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,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 отмечают значительное увеличение нагрузки, связанное с необходимостью переработки программ, освоением новых подходов и технологий. Многие преподаватели оказались неподготовленными к стремительному изменению подходов к обучению студентов. Программы переподготовки преподавателей и курсы повышения квалификации практически не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lastRenderedPageBreak/>
        <w:t>затрагивают направления развития высш</w:t>
      </w:r>
      <w:r w:rsidR="0055117F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его образования такие как цифрот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изация, разработка </w:t>
      </w:r>
      <w:r w:rsidR="007578B5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интерактивных методик для освоения междисциплинарных дисциплин и др. Нехватка квалифицированных преподавателей практиков. Кроме того, отмечается, что переход на новую систему подготовки легче проходит в ведущих вузах, региональные вузы испытывают большие затруднения, связанные прежде всего с техническим оснащением учебного процесса.</w:t>
      </w:r>
    </w:p>
    <w:p w:rsidR="007578B5" w:rsidRPr="00540935" w:rsidRDefault="007578B5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Все вышеперечисленные проблемы кадров </w:t>
      </w:r>
      <w:r w:rsidR="00E62CDF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и технического оснащения </w:t>
      </w: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для осуществления реформы образования затрудняют участие многих вузов в пилотном проекте</w:t>
      </w:r>
      <w:r w:rsidR="00E62CDF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. Именно поэтому намечается постепенный переход на новые стандарты, которые будут обновляться и совершенствоваться довольно длительное время в соответствие с потребностями рынка труда.  Разработка новых образовательных программ с акцентом на практическую ориентированность обучения.</w:t>
      </w:r>
    </w:p>
    <w:p w:rsidR="00F66005" w:rsidRPr="00540935" w:rsidRDefault="00E62CDF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 xml:space="preserve">В текущем учебном году набор осуществляется по старым стандартам на бакалавриат и в магистратуру. </w:t>
      </w:r>
      <w:r w:rsidR="00F94412"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Массовый набор студентов ожидается в 2026 году.</w:t>
      </w:r>
    </w:p>
    <w:p w:rsidR="008F70EB" w:rsidRPr="00540935" w:rsidRDefault="008F70EB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</w:pPr>
      <w:r w:rsidRPr="00540935">
        <w:rPr>
          <w:rStyle w:val="a3"/>
          <w:rFonts w:ascii="Times New Roman" w:eastAsia="TimesNewRomanPSMT" w:hAnsi="Times New Roman" w:cs="Times New Roman"/>
          <w:color w:val="auto"/>
          <w:u w:val="none"/>
          <w:lang w:eastAsia="ja-JP"/>
        </w:rPr>
        <w:t>Предстоящая реформа высшего образования в России имеет своей целью создание собственной системы образования, которая будет нацелена на улучшение качества выпускников, закрытие кадрового дефицита, повышение конкурентноспособности российских вузов, развитие региональных вузов.</w:t>
      </w:r>
    </w:p>
    <w:p w:rsidR="00F66005" w:rsidRPr="00540935" w:rsidRDefault="00F66005" w:rsidP="00721E3B">
      <w:pPr>
        <w:pStyle w:val="11"/>
        <w:spacing w:line="300" w:lineRule="auto"/>
        <w:ind w:right="-1" w:firstLine="710"/>
        <w:jc w:val="both"/>
        <w:rPr>
          <w:rStyle w:val="a3"/>
          <w:rFonts w:ascii="Times New Roman" w:eastAsia="TimesNewRomanPSMT" w:hAnsi="Times New Roman" w:cs="Times New Roman"/>
          <w:i/>
          <w:color w:val="auto"/>
          <w:u w:val="none"/>
          <w:lang w:eastAsia="ja-JP"/>
        </w:rPr>
      </w:pPr>
    </w:p>
    <w:p w:rsidR="00E278C6" w:rsidRDefault="00F66005" w:rsidP="00721E3B">
      <w:pPr>
        <w:spacing w:after="0" w:line="300" w:lineRule="auto"/>
        <w:ind w:left="-284" w:right="-1" w:firstLine="710"/>
        <w:jc w:val="center"/>
        <w:rPr>
          <w:rFonts w:ascii="Times New Roman" w:hAnsi="Times New Roman" w:cs="Times New Roman"/>
          <w:color w:val="000000"/>
        </w:rPr>
      </w:pPr>
      <w:r w:rsidRPr="00540935">
        <w:rPr>
          <w:rFonts w:ascii="Times New Roman" w:hAnsi="Times New Roman" w:cs="Times New Roman"/>
          <w:b/>
        </w:rPr>
        <w:t>Л И Т Е Р А Т У Р А</w:t>
      </w:r>
      <w:r w:rsidR="00E278C6" w:rsidRPr="00540935">
        <w:rPr>
          <w:rFonts w:ascii="Times New Roman" w:hAnsi="Times New Roman" w:cs="Times New Roman"/>
          <w:color w:val="000000"/>
        </w:rPr>
        <w:t xml:space="preserve"> </w:t>
      </w:r>
    </w:p>
    <w:p w:rsidR="00540935" w:rsidRPr="00540935" w:rsidRDefault="00540935" w:rsidP="00721E3B">
      <w:pPr>
        <w:spacing w:after="0" w:line="300" w:lineRule="auto"/>
        <w:ind w:left="-284" w:right="-1" w:firstLine="710"/>
        <w:jc w:val="center"/>
        <w:rPr>
          <w:rFonts w:ascii="Times New Roman" w:hAnsi="Times New Roman" w:cs="Times New Roman"/>
          <w:b/>
        </w:rPr>
      </w:pPr>
    </w:p>
    <w:p w:rsidR="007747AB" w:rsidRPr="00540935" w:rsidRDefault="007747AB" w:rsidP="00721E3B">
      <w:pPr>
        <w:spacing w:after="0" w:line="300" w:lineRule="auto"/>
        <w:ind w:right="-1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0935">
        <w:rPr>
          <w:rFonts w:ascii="Times New Roman" w:hAnsi="Times New Roman" w:cs="Times New Roman"/>
          <w:color w:val="000000"/>
          <w:sz w:val="20"/>
          <w:szCs w:val="20"/>
        </w:rPr>
        <w:t>1.Богданова И.И. Отмена Болонской системы: проблемы и перспективы высшего образования в России.  // Актуальные проблемы педагогики и психологии. - 2022. -  № 8. - С. 11-16.</w:t>
      </w:r>
    </w:p>
    <w:p w:rsidR="007747AB" w:rsidRPr="00540935" w:rsidRDefault="007747AB" w:rsidP="00721E3B">
      <w:pPr>
        <w:spacing w:after="0" w:line="300" w:lineRule="auto"/>
        <w:ind w:right="-1" w:firstLine="426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540935">
        <w:rPr>
          <w:rFonts w:ascii="Times New Roman" w:hAnsi="Times New Roman" w:cs="Times New Roman"/>
          <w:color w:val="000000"/>
          <w:sz w:val="20"/>
          <w:szCs w:val="20"/>
        </w:rPr>
        <w:t xml:space="preserve"> 2. </w:t>
      </w:r>
      <w:r w:rsidRPr="0054093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Команда сайта Vuzopedia.ru.</w:t>
      </w:r>
      <w:r w:rsidRPr="00540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0935">
        <w:rPr>
          <w:rFonts w:ascii="Times New Roman" w:hAnsi="Times New Roman" w:cs="Times New Roman"/>
          <w:color w:val="333333"/>
          <w:sz w:val="20"/>
          <w:szCs w:val="20"/>
        </w:rPr>
        <w:t>Базовое высшее образование: как прошел первый учебный год пилотного проекта? //</w:t>
      </w:r>
      <w:r w:rsidRPr="0054093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hyperlink r:id="rId13" w:history="1">
        <w:r w:rsidRPr="0054093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https://vuzopedia.ru/articles/7469</w:t>
        </w:r>
      </w:hyperlink>
    </w:p>
    <w:p w:rsidR="007747AB" w:rsidRPr="00540935" w:rsidRDefault="007747AB" w:rsidP="00721E3B">
      <w:pPr>
        <w:pStyle w:val="1"/>
        <w:shd w:val="clear" w:color="auto" w:fill="FFFFFF"/>
        <w:spacing w:before="0" w:beforeAutospacing="0" w:after="0" w:afterAutospacing="0" w:line="300" w:lineRule="auto"/>
        <w:ind w:right="-1" w:firstLine="426"/>
        <w:jc w:val="both"/>
        <w:rPr>
          <w:b w:val="0"/>
          <w:color w:val="000000"/>
          <w:sz w:val="22"/>
          <w:szCs w:val="22"/>
        </w:rPr>
      </w:pPr>
      <w:r w:rsidRPr="00540935">
        <w:rPr>
          <w:rStyle w:val="a3"/>
          <w:b w:val="0"/>
          <w:color w:val="auto"/>
          <w:sz w:val="20"/>
          <w:szCs w:val="20"/>
          <w:u w:val="none"/>
        </w:rPr>
        <w:t>3.</w:t>
      </w:r>
      <w:r w:rsidRPr="00540935">
        <w:rPr>
          <w:b w:val="0"/>
          <w:color w:val="000000"/>
          <w:sz w:val="20"/>
          <w:szCs w:val="20"/>
        </w:rPr>
        <w:t xml:space="preserve"> </w:t>
      </w:r>
      <w:proofErr w:type="spellStart"/>
      <w:r w:rsidRPr="00540935">
        <w:rPr>
          <w:b w:val="0"/>
          <w:color w:val="000000"/>
          <w:sz w:val="20"/>
          <w:szCs w:val="20"/>
        </w:rPr>
        <w:t>Хромова</w:t>
      </w:r>
      <w:proofErr w:type="spellEnd"/>
      <w:r w:rsidRPr="00540935">
        <w:rPr>
          <w:b w:val="0"/>
          <w:color w:val="000000"/>
          <w:sz w:val="20"/>
          <w:szCs w:val="20"/>
        </w:rPr>
        <w:t xml:space="preserve"> А. Изменение в высшем образовании России в 2025 году </w:t>
      </w:r>
      <w:r w:rsidR="0012196A" w:rsidRPr="00540935">
        <w:rPr>
          <w:b w:val="0"/>
          <w:color w:val="000000"/>
          <w:sz w:val="20"/>
          <w:szCs w:val="20"/>
        </w:rPr>
        <w:t xml:space="preserve">// </w:t>
      </w:r>
      <w:r w:rsidRPr="00540935">
        <w:rPr>
          <w:rStyle w:val="a3"/>
          <w:b w:val="0"/>
          <w:color w:val="000000" w:themeColor="text1"/>
          <w:sz w:val="20"/>
          <w:szCs w:val="20"/>
          <w:u w:val="none"/>
        </w:rPr>
        <w:t>https://media.foxford.ru/articles/izmeneniya-v-vysshem-obrazovanii-rossii-2025</w:t>
      </w:r>
    </w:p>
    <w:p w:rsidR="007747AB" w:rsidRPr="00540935" w:rsidRDefault="007747AB" w:rsidP="00721E3B">
      <w:pPr>
        <w:spacing w:after="0" w:line="300" w:lineRule="auto"/>
        <w:ind w:right="-1"/>
        <w:jc w:val="both"/>
        <w:rPr>
          <w:rFonts w:ascii="Times New Roman" w:hAnsi="Times New Roman" w:cs="Times New Roman"/>
        </w:rPr>
      </w:pPr>
    </w:p>
    <w:p w:rsidR="00E278C6" w:rsidRPr="00540935" w:rsidRDefault="00E278C6" w:rsidP="00721E3B">
      <w:pPr>
        <w:pStyle w:val="1"/>
        <w:shd w:val="clear" w:color="auto" w:fill="FFFFFF"/>
        <w:spacing w:before="0" w:beforeAutospacing="0" w:after="0" w:afterAutospacing="0" w:line="300" w:lineRule="auto"/>
        <w:ind w:right="-1"/>
        <w:rPr>
          <w:caps/>
          <w:color w:val="000000"/>
          <w:sz w:val="22"/>
          <w:szCs w:val="22"/>
        </w:rPr>
      </w:pPr>
    </w:p>
    <w:p w:rsidR="00895E6E" w:rsidRPr="00540935" w:rsidRDefault="00895E6E" w:rsidP="00540935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:rsidR="00096F57" w:rsidRPr="00540935" w:rsidRDefault="00096F57" w:rsidP="00540935">
      <w:pPr>
        <w:spacing w:after="0" w:line="300" w:lineRule="auto"/>
        <w:rPr>
          <w:rFonts w:ascii="Times New Roman" w:hAnsi="Times New Roman" w:cs="Times New Roman"/>
        </w:rPr>
      </w:pPr>
    </w:p>
    <w:p w:rsidR="009B7D99" w:rsidRPr="00540935" w:rsidRDefault="009B7D99" w:rsidP="00540935">
      <w:pPr>
        <w:spacing w:after="0" w:line="300" w:lineRule="auto"/>
        <w:rPr>
          <w:rFonts w:ascii="Times New Roman" w:hAnsi="Times New Roman" w:cs="Times New Roman"/>
        </w:rPr>
      </w:pPr>
    </w:p>
    <w:sectPr w:rsidR="009B7D99" w:rsidRPr="00540935" w:rsidSect="005409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379F"/>
    <w:multiLevelType w:val="multilevel"/>
    <w:tmpl w:val="2E7E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EB"/>
    <w:rsid w:val="00096F57"/>
    <w:rsid w:val="0009710D"/>
    <w:rsid w:val="0012196A"/>
    <w:rsid w:val="00203524"/>
    <w:rsid w:val="00252B35"/>
    <w:rsid w:val="00254047"/>
    <w:rsid w:val="002D7D93"/>
    <w:rsid w:val="003145D8"/>
    <w:rsid w:val="003716EE"/>
    <w:rsid w:val="003C63DB"/>
    <w:rsid w:val="00406E6F"/>
    <w:rsid w:val="00485FC2"/>
    <w:rsid w:val="004F751D"/>
    <w:rsid w:val="00540935"/>
    <w:rsid w:val="00546788"/>
    <w:rsid w:val="005473E8"/>
    <w:rsid w:val="0055117F"/>
    <w:rsid w:val="00553390"/>
    <w:rsid w:val="005A1CFD"/>
    <w:rsid w:val="005F4B64"/>
    <w:rsid w:val="00677B8E"/>
    <w:rsid w:val="006956E7"/>
    <w:rsid w:val="006F7909"/>
    <w:rsid w:val="00721E3B"/>
    <w:rsid w:val="00747B1B"/>
    <w:rsid w:val="00750CC6"/>
    <w:rsid w:val="007578B5"/>
    <w:rsid w:val="00767BA4"/>
    <w:rsid w:val="007747AB"/>
    <w:rsid w:val="007B526E"/>
    <w:rsid w:val="0083063A"/>
    <w:rsid w:val="00895E6E"/>
    <w:rsid w:val="008A127C"/>
    <w:rsid w:val="008D0037"/>
    <w:rsid w:val="008F70EB"/>
    <w:rsid w:val="00902932"/>
    <w:rsid w:val="00974348"/>
    <w:rsid w:val="00987B3D"/>
    <w:rsid w:val="009A2281"/>
    <w:rsid w:val="009B7D99"/>
    <w:rsid w:val="009C5FF8"/>
    <w:rsid w:val="00AF236A"/>
    <w:rsid w:val="00AF591C"/>
    <w:rsid w:val="00B40AA3"/>
    <w:rsid w:val="00B6439A"/>
    <w:rsid w:val="00B823C0"/>
    <w:rsid w:val="00B845EF"/>
    <w:rsid w:val="00BC3B0E"/>
    <w:rsid w:val="00BC41F1"/>
    <w:rsid w:val="00BE16EB"/>
    <w:rsid w:val="00C235E9"/>
    <w:rsid w:val="00CB0475"/>
    <w:rsid w:val="00CD4247"/>
    <w:rsid w:val="00CE1E42"/>
    <w:rsid w:val="00D234AA"/>
    <w:rsid w:val="00D23719"/>
    <w:rsid w:val="00D42970"/>
    <w:rsid w:val="00D751E5"/>
    <w:rsid w:val="00D80A22"/>
    <w:rsid w:val="00D87CAC"/>
    <w:rsid w:val="00DC46D6"/>
    <w:rsid w:val="00DC66EF"/>
    <w:rsid w:val="00DE1F73"/>
    <w:rsid w:val="00E119D4"/>
    <w:rsid w:val="00E278C6"/>
    <w:rsid w:val="00E62CDF"/>
    <w:rsid w:val="00E84A42"/>
    <w:rsid w:val="00EF60BD"/>
    <w:rsid w:val="00F66005"/>
    <w:rsid w:val="00F872F3"/>
    <w:rsid w:val="00F920A0"/>
    <w:rsid w:val="00F94412"/>
    <w:rsid w:val="00F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AE2F"/>
  <w15:chartTrackingRefBased/>
  <w15:docId w15:val="{05D685FB-8D70-4F72-939B-834C6EC6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EB"/>
  </w:style>
  <w:style w:type="paragraph" w:styleId="1">
    <w:name w:val="heading 1"/>
    <w:basedOn w:val="a"/>
    <w:link w:val="10"/>
    <w:uiPriority w:val="9"/>
    <w:qFormat/>
    <w:rsid w:val="00F87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E16E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3">
    <w:name w:val="Hyperlink"/>
    <w:basedOn w:val="a0"/>
    <w:uiPriority w:val="99"/>
    <w:unhideWhenUsed/>
    <w:rsid w:val="00BE16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8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2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7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opedia.ru/vuz/291" TargetMode="External"/><Relationship Id="rId13" Type="http://schemas.openxmlformats.org/officeDocument/2006/relationships/hyperlink" Target="https://vuzopedia.ru/articles/7469" TargetMode="External"/><Relationship Id="rId3" Type="http://schemas.openxmlformats.org/officeDocument/2006/relationships/styles" Target="styles.xml"/><Relationship Id="rId7" Type="http://schemas.openxmlformats.org/officeDocument/2006/relationships/hyperlink" Target="https://vuzopedia.ru/vuz/405" TargetMode="External"/><Relationship Id="rId12" Type="http://schemas.openxmlformats.org/officeDocument/2006/relationships/hyperlink" Target="https://vuzopedia.ru/vuz/10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pylovaib@mail.ru" TargetMode="External"/><Relationship Id="rId11" Type="http://schemas.openxmlformats.org/officeDocument/2006/relationships/hyperlink" Target="https://vuzopedia.ru/vuz/37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uzopedia.ru/vuz/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zopedia.ru/vuz/34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2CA5-39BF-4798-804A-7476F3B3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2025-08-18T01:51:00Z</dcterms:created>
  <dcterms:modified xsi:type="dcterms:W3CDTF">2025-08-18T03:36:00Z</dcterms:modified>
</cp:coreProperties>
</file>