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93A" w:rsidRPr="00114411" w:rsidRDefault="00114411" w:rsidP="00114411">
      <w:pPr>
        <w:spacing w:line="30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>УДК 621.762; 537.523.4</w:t>
      </w:r>
    </w:p>
    <w:p w:rsidR="00F5393A" w:rsidRPr="00114411" w:rsidRDefault="00F5393A" w:rsidP="00114411">
      <w:pPr>
        <w:spacing w:line="300" w:lineRule="auto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  <w:r w:rsidRPr="00114411">
        <w:rPr>
          <w:rFonts w:ascii="Times New Roman" w:hAnsi="Times New Roman" w:cs="Times New Roman"/>
          <w:b/>
          <w:sz w:val="22"/>
          <w:szCs w:val="22"/>
          <w:lang w:val="ru-RU" w:eastAsia="ru-RU"/>
        </w:rPr>
        <w:t>АРМИРОВАНИЕ ПОКРЫТИЙ ИЗ МЕТАЛЛИЧЕСКОГО СТЕКЛА ЧАСТИЦАМИ α-</w:t>
      </w:r>
      <w:r w:rsidRPr="00114411">
        <w:rPr>
          <w:rFonts w:ascii="Times New Roman" w:hAnsi="Times New Roman" w:cs="Times New Roman"/>
          <w:b/>
          <w:sz w:val="22"/>
          <w:szCs w:val="22"/>
          <w:lang w:val="en-US" w:eastAsia="ru-RU"/>
        </w:rPr>
        <w:t>WC</w:t>
      </w:r>
    </w:p>
    <w:p w:rsidR="00F5393A" w:rsidRPr="00114411" w:rsidRDefault="00F5393A" w:rsidP="00114411">
      <w:pPr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А.А. Бурков, </w:t>
      </w:r>
      <w:r w:rsidRPr="0011441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М. А. Кулик</w:t>
      </w:r>
    </w:p>
    <w:p w:rsidR="00F5393A" w:rsidRPr="00114411" w:rsidRDefault="00FF17F2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hyperlink r:id="rId5">
        <w:r w:rsidR="00114411" w:rsidRPr="00114411">
          <w:rPr>
            <w:rStyle w:val="-"/>
            <w:rFonts w:ascii="Times New Roman" w:hAnsi="Times New Roman" w:cs="Times New Roman"/>
            <w:b/>
            <w:color w:val="00000A"/>
            <w:sz w:val="22"/>
            <w:szCs w:val="22"/>
            <w:lang w:val="ru-RU"/>
          </w:rPr>
          <w:t>marijka80@mail.ru</w:t>
        </w:r>
      </w:hyperlink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i/>
          <w:sz w:val="22"/>
          <w:szCs w:val="22"/>
          <w:lang w:val="ru-RU"/>
        </w:rPr>
        <w:t>Институт материаловедения Хабаровского научного центра Дальневосточного отделения Российской академии наук (</w:t>
      </w:r>
      <w:proofErr w:type="gramStart"/>
      <w:r w:rsidRPr="00114411">
        <w:rPr>
          <w:rFonts w:ascii="Times New Roman" w:hAnsi="Times New Roman" w:cs="Times New Roman"/>
          <w:i/>
          <w:sz w:val="22"/>
          <w:szCs w:val="22"/>
          <w:lang w:val="ru-RU" w:eastAsia="ru-RU"/>
        </w:rPr>
        <w:t>г</w:t>
      </w:r>
      <w:proofErr w:type="gramEnd"/>
      <w:r w:rsidRPr="00114411">
        <w:rPr>
          <w:rFonts w:ascii="Times New Roman" w:hAnsi="Times New Roman" w:cs="Times New Roman"/>
          <w:i/>
          <w:sz w:val="22"/>
          <w:szCs w:val="22"/>
          <w:lang w:val="ru-RU" w:eastAsia="ru-RU"/>
        </w:rPr>
        <w:t>. Хабаровск</w:t>
      </w:r>
      <w:r w:rsidRPr="00114411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F5393A" w:rsidRPr="00114411" w:rsidRDefault="00F5393A" w:rsidP="00114411">
      <w:pPr>
        <w:spacing w:line="300" w:lineRule="auto"/>
        <w:jc w:val="both"/>
        <w:rPr>
          <w:rFonts w:ascii="Times New Roman" w:hAnsi="Times New Roman" w:cs="Times New Roman"/>
          <w:i/>
          <w:sz w:val="22"/>
          <w:szCs w:val="22"/>
          <w:lang w:val="ru-RU" w:eastAsia="ru-RU"/>
        </w:rPr>
      </w:pPr>
    </w:p>
    <w:p w:rsidR="00F5393A" w:rsidRPr="00C139EC" w:rsidRDefault="00114411" w:rsidP="00114411">
      <w:pPr>
        <w:tabs>
          <w:tab w:val="left" w:pos="1003"/>
        </w:tabs>
        <w:spacing w:line="300" w:lineRule="auto"/>
        <w:ind w:firstLine="720"/>
        <w:jc w:val="both"/>
        <w:rPr>
          <w:rFonts w:ascii="Times New Roman" w:hAnsi="Times New Roman" w:cs="Times New Roman"/>
          <w:i/>
          <w:lang w:val="ru-RU" w:eastAsia="ru-RU"/>
        </w:rPr>
      </w:pPr>
      <w:r w:rsidRPr="00C139EC">
        <w:rPr>
          <w:rFonts w:ascii="Times New Roman" w:hAnsi="Times New Roman" w:cs="Times New Roman"/>
          <w:i/>
          <w:lang w:val="ru-RU" w:eastAsia="ru-RU"/>
        </w:rPr>
        <w:t xml:space="preserve">Представлены результаты электроискровой обработки стали 45 анодом из железных гранул, с добавлением порошков </w:t>
      </w:r>
      <w:proofErr w:type="spellStart"/>
      <w:r w:rsidRPr="00C139EC">
        <w:rPr>
          <w:rFonts w:ascii="Times New Roman" w:hAnsi="Times New Roman" w:cs="Times New Roman"/>
          <w:i/>
          <w:lang w:val="ru-RU" w:eastAsia="ru-RU"/>
        </w:rPr>
        <w:t>CrMoWCBSi</w:t>
      </w:r>
      <w:proofErr w:type="spellEnd"/>
      <w:r w:rsidRPr="00C139EC">
        <w:rPr>
          <w:rFonts w:ascii="Times New Roman" w:hAnsi="Times New Roman" w:cs="Times New Roman"/>
          <w:i/>
          <w:lang w:val="ru-RU" w:eastAsia="ru-RU"/>
        </w:rPr>
        <w:t xml:space="preserve"> и WC. С ростом концентрации WC в анодной смеси до 1.2 об</w:t>
      </w:r>
      <w:proofErr w:type="gramStart"/>
      <w:r w:rsidRPr="00C139EC">
        <w:rPr>
          <w:rFonts w:ascii="Times New Roman" w:hAnsi="Times New Roman" w:cs="Times New Roman"/>
          <w:i/>
          <w:lang w:val="ru-RU" w:eastAsia="ru-RU"/>
        </w:rPr>
        <w:t>.</w:t>
      </w:r>
      <w:proofErr w:type="gramEnd"/>
      <w:r w:rsidRPr="00C139EC">
        <w:rPr>
          <w:rFonts w:ascii="Times New Roman" w:hAnsi="Times New Roman" w:cs="Times New Roman"/>
          <w:i/>
          <w:lang w:val="ru-RU" w:eastAsia="ru-RU"/>
        </w:rPr>
        <w:t xml:space="preserve"> % </w:t>
      </w:r>
      <w:proofErr w:type="gramStart"/>
      <w:r w:rsidRPr="00C139EC">
        <w:rPr>
          <w:rFonts w:ascii="Times New Roman" w:hAnsi="Times New Roman" w:cs="Times New Roman"/>
          <w:i/>
          <w:lang w:val="ru-RU" w:eastAsia="ru-RU"/>
        </w:rPr>
        <w:t>н</w:t>
      </w:r>
      <w:proofErr w:type="gramEnd"/>
      <w:r w:rsidRPr="00C139EC">
        <w:rPr>
          <w:rFonts w:ascii="Times New Roman" w:hAnsi="Times New Roman" w:cs="Times New Roman"/>
          <w:i/>
          <w:lang w:val="ru-RU" w:eastAsia="ru-RU"/>
        </w:rPr>
        <w:t xml:space="preserve">аблюдалось повышение содержания фазы </w:t>
      </w:r>
      <w:r w:rsidRPr="00C139EC">
        <w:rPr>
          <w:rFonts w:ascii="Times New Roman" w:hAnsi="Times New Roman" w:cs="Times New Roman"/>
          <w:i/>
          <w:lang w:val="en-US" w:eastAsia="ru-RU"/>
        </w:rPr>
        <w:t>WC</w:t>
      </w:r>
      <w:r w:rsidRPr="00C139EC">
        <w:rPr>
          <w:rFonts w:ascii="Times New Roman" w:hAnsi="Times New Roman" w:cs="Times New Roman"/>
          <w:i/>
          <w:lang w:val="ru-RU" w:eastAsia="ru-RU"/>
        </w:rPr>
        <w:t xml:space="preserve"> в составе покрытий. Интенсивность изнашивания покрытий с карбидом вольфрама находилась в диапазоне 0.5 ‒ 1.1 ×10</w:t>
      </w:r>
      <w:r w:rsidRPr="00C139EC">
        <w:rPr>
          <w:rFonts w:ascii="Times New Roman" w:hAnsi="Times New Roman" w:cs="Times New Roman"/>
          <w:i/>
          <w:vertAlign w:val="superscript"/>
          <w:lang w:val="ru-RU" w:eastAsia="ru-RU"/>
        </w:rPr>
        <w:t>-5</w:t>
      </w:r>
      <w:r w:rsidRPr="00C139EC">
        <w:rPr>
          <w:rFonts w:ascii="Times New Roman" w:hAnsi="Times New Roman" w:cs="Times New Roman"/>
          <w:i/>
          <w:lang w:val="ru-RU" w:eastAsia="ru-RU"/>
        </w:rPr>
        <w:t xml:space="preserve"> мм</w:t>
      </w:r>
      <w:r w:rsidRPr="00C139EC">
        <w:rPr>
          <w:rFonts w:ascii="Times New Roman" w:hAnsi="Times New Roman" w:cs="Times New Roman"/>
          <w:i/>
          <w:vertAlign w:val="superscript"/>
          <w:lang w:val="ru-RU" w:eastAsia="ru-RU"/>
        </w:rPr>
        <w:t>3</w:t>
      </w:r>
      <w:r w:rsidRPr="00C139EC">
        <w:rPr>
          <w:rFonts w:ascii="Times New Roman" w:hAnsi="Times New Roman" w:cs="Times New Roman"/>
          <w:i/>
          <w:lang w:val="ru-RU" w:eastAsia="ru-RU"/>
        </w:rPr>
        <w:t xml:space="preserve">/Нм, что ниже, чем у образца без </w:t>
      </w:r>
      <w:r w:rsidRPr="00C139EC">
        <w:rPr>
          <w:rFonts w:ascii="Times New Roman" w:hAnsi="Times New Roman" w:cs="Times New Roman"/>
          <w:i/>
          <w:lang w:val="en-US" w:eastAsia="ru-RU"/>
        </w:rPr>
        <w:t>WC</w:t>
      </w:r>
      <w:r w:rsidRPr="00C139EC">
        <w:rPr>
          <w:rFonts w:ascii="Times New Roman" w:hAnsi="Times New Roman" w:cs="Times New Roman"/>
          <w:i/>
          <w:lang w:val="ru-RU" w:eastAsia="ru-RU"/>
        </w:rPr>
        <w:t xml:space="preserve"> (1.8 × 10</w:t>
      </w:r>
      <w:r w:rsidRPr="00C139EC">
        <w:rPr>
          <w:rFonts w:ascii="Times New Roman" w:hAnsi="Times New Roman" w:cs="Times New Roman"/>
          <w:i/>
          <w:vertAlign w:val="superscript"/>
          <w:lang w:val="ru-RU" w:eastAsia="ru-RU"/>
        </w:rPr>
        <w:t>-5</w:t>
      </w:r>
      <w:r w:rsidRPr="00C139EC">
        <w:rPr>
          <w:rFonts w:ascii="Times New Roman" w:hAnsi="Times New Roman" w:cs="Times New Roman"/>
          <w:i/>
          <w:lang w:val="ru-RU" w:eastAsia="ru-RU"/>
        </w:rPr>
        <w:t xml:space="preserve"> мм</w:t>
      </w:r>
      <w:r w:rsidRPr="00C139EC">
        <w:rPr>
          <w:rFonts w:ascii="Times New Roman" w:hAnsi="Times New Roman" w:cs="Times New Roman"/>
          <w:i/>
          <w:vertAlign w:val="superscript"/>
          <w:lang w:val="ru-RU" w:eastAsia="ru-RU"/>
        </w:rPr>
        <w:t>3</w:t>
      </w:r>
      <w:r w:rsidRPr="00C139EC">
        <w:rPr>
          <w:rFonts w:ascii="Times New Roman" w:hAnsi="Times New Roman" w:cs="Times New Roman"/>
          <w:i/>
          <w:lang w:val="ru-RU" w:eastAsia="ru-RU"/>
        </w:rPr>
        <w:t>/Нм).</w:t>
      </w:r>
    </w:p>
    <w:p w:rsidR="00F5393A" w:rsidRPr="00114411" w:rsidRDefault="00F5393A" w:rsidP="00114411">
      <w:pPr>
        <w:tabs>
          <w:tab w:val="left" w:pos="1003"/>
        </w:tabs>
        <w:spacing w:line="300" w:lineRule="auto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  <w:lang w:val="ru-RU" w:eastAsia="ru-RU"/>
        </w:rPr>
      </w:pP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  <w:lang w:val="en-US" w:eastAsia="ru-RU"/>
        </w:rPr>
      </w:pPr>
      <w:r w:rsidRPr="00114411">
        <w:rPr>
          <w:rFonts w:ascii="Times New Roman" w:hAnsi="Times New Roman" w:cs="Times New Roman"/>
          <w:b/>
          <w:sz w:val="22"/>
          <w:szCs w:val="22"/>
          <w:lang w:val="en-US" w:eastAsia="ru-RU"/>
        </w:rPr>
        <w:t xml:space="preserve">REINFORCEMENT OF METALLIC GLASS COATINGS WITH </w:t>
      </w:r>
      <w:r w:rsidRPr="00114411">
        <w:rPr>
          <w:rFonts w:ascii="Times New Roman" w:hAnsi="Times New Roman" w:cs="Times New Roman"/>
          <w:b/>
          <w:sz w:val="22"/>
          <w:szCs w:val="22"/>
          <w:lang w:val="ru-RU" w:eastAsia="ru-RU"/>
        </w:rPr>
        <w:t>α</w:t>
      </w:r>
      <w:r w:rsidRPr="00114411">
        <w:rPr>
          <w:rFonts w:ascii="Times New Roman" w:hAnsi="Times New Roman" w:cs="Times New Roman"/>
          <w:b/>
          <w:sz w:val="22"/>
          <w:szCs w:val="22"/>
          <w:lang w:val="en-US" w:eastAsia="ru-RU"/>
        </w:rPr>
        <w:t>-WC PARTICLES</w:t>
      </w:r>
    </w:p>
    <w:p w:rsidR="00F5393A" w:rsidRPr="00114411" w:rsidRDefault="00F5393A" w:rsidP="00114411">
      <w:pPr>
        <w:tabs>
          <w:tab w:val="left" w:pos="1003"/>
        </w:tabs>
        <w:spacing w:line="300" w:lineRule="auto"/>
        <w:ind w:firstLine="720"/>
        <w:jc w:val="both"/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</w:pP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14411">
        <w:rPr>
          <w:rFonts w:ascii="Times New Roman" w:hAnsi="Times New Roman" w:cs="Times New Roman"/>
          <w:b/>
          <w:sz w:val="22"/>
          <w:szCs w:val="22"/>
          <w:lang w:val="en-US"/>
        </w:rPr>
        <w:t xml:space="preserve">A.A. </w:t>
      </w:r>
      <w:proofErr w:type="spellStart"/>
      <w:r w:rsidRPr="00114411">
        <w:rPr>
          <w:rFonts w:ascii="Times New Roman" w:hAnsi="Times New Roman" w:cs="Times New Roman"/>
          <w:b/>
          <w:sz w:val="22"/>
          <w:szCs w:val="22"/>
          <w:lang w:val="en-US"/>
        </w:rPr>
        <w:t>Burkov</w:t>
      </w:r>
      <w:proofErr w:type="spellEnd"/>
      <w:r w:rsidRPr="00114411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r w:rsidRPr="0011441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 xml:space="preserve">M. A. </w:t>
      </w:r>
      <w:proofErr w:type="spellStart"/>
      <w:r w:rsidRPr="0011441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Kulik</w:t>
      </w:r>
      <w:proofErr w:type="spellEnd"/>
      <w:r w:rsidRPr="0011441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 xml:space="preserve"> </w:t>
      </w: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114411">
        <w:rPr>
          <w:rFonts w:ascii="Times New Roman" w:hAnsi="Times New Roman" w:cs="Times New Roman"/>
          <w:sz w:val="22"/>
          <w:szCs w:val="22"/>
          <w:lang w:val="en-US"/>
        </w:rPr>
        <w:t xml:space="preserve">Institute of Materials Science, Khabarovsk Scientific Centre 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en-US"/>
        </w:rPr>
        <w:t>( Khabarovsk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:rsidR="00F5393A" w:rsidRPr="00114411" w:rsidRDefault="00F5393A" w:rsidP="00114411">
      <w:pPr>
        <w:tabs>
          <w:tab w:val="left" w:pos="1003"/>
        </w:tabs>
        <w:spacing w:line="30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5393A" w:rsidRPr="00C139EC" w:rsidRDefault="00114411" w:rsidP="00114411">
      <w:pPr>
        <w:tabs>
          <w:tab w:val="left" w:pos="1003"/>
        </w:tabs>
        <w:spacing w:line="300" w:lineRule="auto"/>
        <w:ind w:firstLine="720"/>
        <w:jc w:val="both"/>
        <w:rPr>
          <w:rFonts w:ascii="Times New Roman" w:hAnsi="Times New Roman" w:cs="Times New Roman"/>
          <w:i/>
          <w:lang w:val="en-US"/>
        </w:rPr>
      </w:pPr>
      <w:r w:rsidRPr="00C139EC">
        <w:rPr>
          <w:rFonts w:ascii="Times New Roman" w:hAnsi="Times New Roman" w:cs="Times New Roman"/>
          <w:i/>
          <w:lang w:val="en-US"/>
        </w:rPr>
        <w:t xml:space="preserve">The results of electric spark processing steel 45 in iron granules with the addition of </w:t>
      </w:r>
      <w:proofErr w:type="spellStart"/>
      <w:r w:rsidRPr="00C139EC">
        <w:rPr>
          <w:rFonts w:ascii="Times New Roman" w:hAnsi="Times New Roman" w:cs="Times New Roman"/>
          <w:i/>
          <w:lang w:val="en-US"/>
        </w:rPr>
        <w:t>CrMoWCBSi</w:t>
      </w:r>
      <w:proofErr w:type="spellEnd"/>
      <w:r w:rsidRPr="00C139EC">
        <w:rPr>
          <w:rFonts w:ascii="Times New Roman" w:hAnsi="Times New Roman" w:cs="Times New Roman"/>
          <w:i/>
          <w:lang w:val="en-US"/>
        </w:rPr>
        <w:t xml:space="preserve"> and WC </w:t>
      </w:r>
      <w:proofErr w:type="gramStart"/>
      <w:r w:rsidRPr="00C139EC">
        <w:rPr>
          <w:rFonts w:ascii="Times New Roman" w:hAnsi="Times New Roman" w:cs="Times New Roman"/>
          <w:i/>
          <w:lang w:val="en-US"/>
        </w:rPr>
        <w:t>powders,</w:t>
      </w:r>
      <w:proofErr w:type="gramEnd"/>
      <w:r w:rsidRPr="00C139EC">
        <w:rPr>
          <w:rFonts w:ascii="Times New Roman" w:hAnsi="Times New Roman" w:cs="Times New Roman"/>
          <w:i/>
          <w:lang w:val="en-US"/>
        </w:rPr>
        <w:t xml:space="preserve"> are presented. With an increase in the concentration of WC in the anode mixture to 1.2 vol. % there was an increase in the content of the WC phase in the coating composition. The wear </w:t>
      </w:r>
      <w:proofErr w:type="gramStart"/>
      <w:r w:rsidRPr="00C139EC">
        <w:rPr>
          <w:rFonts w:ascii="Times New Roman" w:hAnsi="Times New Roman" w:cs="Times New Roman"/>
          <w:i/>
          <w:lang w:val="en-US"/>
        </w:rPr>
        <w:t>rate of the coatings with tungsten carbide were</w:t>
      </w:r>
      <w:proofErr w:type="gramEnd"/>
      <w:r w:rsidRPr="00C139EC">
        <w:rPr>
          <w:rFonts w:ascii="Times New Roman" w:hAnsi="Times New Roman" w:cs="Times New Roman"/>
          <w:i/>
          <w:lang w:val="en-US"/>
        </w:rPr>
        <w:t xml:space="preserve"> in the range of 0.5-1.1 ×10</w:t>
      </w:r>
      <w:r w:rsidRPr="00C139EC">
        <w:rPr>
          <w:rFonts w:ascii="Times New Roman" w:hAnsi="Times New Roman" w:cs="Times New Roman"/>
          <w:i/>
          <w:vertAlign w:val="superscript"/>
          <w:lang w:val="en-US"/>
        </w:rPr>
        <w:t>-5</w:t>
      </w:r>
      <w:r w:rsidRPr="00C139EC">
        <w:rPr>
          <w:rFonts w:ascii="Times New Roman" w:hAnsi="Times New Roman" w:cs="Times New Roman"/>
          <w:i/>
          <w:lang w:val="en-US"/>
        </w:rPr>
        <w:t xml:space="preserve"> mm</w:t>
      </w:r>
      <w:r w:rsidRPr="00C139EC">
        <w:rPr>
          <w:rFonts w:ascii="Times New Roman" w:hAnsi="Times New Roman" w:cs="Times New Roman"/>
          <w:i/>
          <w:vertAlign w:val="superscript"/>
          <w:lang w:val="en-US"/>
        </w:rPr>
        <w:t>3</w:t>
      </w:r>
      <w:r w:rsidRPr="00C139EC">
        <w:rPr>
          <w:rFonts w:ascii="Times New Roman" w:hAnsi="Times New Roman" w:cs="Times New Roman"/>
          <w:i/>
          <w:lang w:val="en-US"/>
        </w:rPr>
        <w:t>/Nm, which is lower than that of the sample without WC (1.8 × 10</w:t>
      </w:r>
      <w:r w:rsidRPr="00C139EC">
        <w:rPr>
          <w:rFonts w:ascii="Times New Roman" w:hAnsi="Times New Roman" w:cs="Times New Roman"/>
          <w:i/>
          <w:vertAlign w:val="superscript"/>
          <w:lang w:val="en-US"/>
        </w:rPr>
        <w:t>-5</w:t>
      </w:r>
      <w:r w:rsidRPr="00C139EC">
        <w:rPr>
          <w:rFonts w:ascii="Times New Roman" w:hAnsi="Times New Roman" w:cs="Times New Roman"/>
          <w:i/>
          <w:lang w:val="en-US"/>
        </w:rPr>
        <w:t xml:space="preserve"> mm</w:t>
      </w:r>
      <w:r w:rsidRPr="00C139EC">
        <w:rPr>
          <w:rFonts w:ascii="Times New Roman" w:hAnsi="Times New Roman" w:cs="Times New Roman"/>
          <w:i/>
          <w:vertAlign w:val="superscript"/>
          <w:lang w:val="en-US"/>
        </w:rPr>
        <w:t>3</w:t>
      </w:r>
      <w:r w:rsidRPr="00C139EC">
        <w:rPr>
          <w:rFonts w:ascii="Times New Roman" w:hAnsi="Times New Roman" w:cs="Times New Roman"/>
          <w:i/>
          <w:lang w:val="en-US"/>
        </w:rPr>
        <w:t>/Nm).</w:t>
      </w:r>
    </w:p>
    <w:p w:rsidR="00F5393A" w:rsidRPr="00114411" w:rsidRDefault="00F5393A" w:rsidP="00114411">
      <w:pPr>
        <w:tabs>
          <w:tab w:val="left" w:pos="1003"/>
        </w:tabs>
        <w:spacing w:line="300" w:lineRule="auto"/>
        <w:ind w:firstLine="720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Композиты с металлической матрицей широко используются в механических деталях, подверженных абразивному воздействию [1]. Армирующей фазой может выступать карбид вольфрама, а в качестве материала матрицы обычно используют сплавы на основе железа, никеля и кобальта [2]. Метод электроискрового легирования (ЭИЛ) [3] позволяет локально упрочнить, защитить от коррозии, восстановить и отремонтировать поверхность металлических деталей, чтобы продлить срок их службы или использовать повторно [4]. В наших предыдущих работах была показана возможность одностадийного формирования аморфных покрытий технологией ЭИЛ в среде гранул, состоящих из разных компонентов [5], и внесением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аморфизирующегося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порошка [6]. В данной работе исследовались структура и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триботехнические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свойства покрытий, приготовленных электроискровой обработкой стали 45 в смеси железных гранул и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аморфизирующегося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порошка с добавлением частиц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>Покрытия осаждались на подложку из стали 45, в форме цилиндра диаметром 12 мм и высотой 10 мм. В качестве анодного материала использовались четыре смеси из гранул стали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т.3,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аморфизирующегося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многокомпонентного порошка и карбида вольфрама в различных соотношениях (</w:t>
      </w:r>
      <w:r>
        <w:rPr>
          <w:rFonts w:ascii="Times New Roman" w:hAnsi="Times New Roman" w:cs="Times New Roman"/>
          <w:sz w:val="22"/>
          <w:szCs w:val="22"/>
          <w:lang w:val="ru-RU"/>
        </w:rPr>
        <w:t>т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абл. 1). Гранулы изготавливались путем нарезания проволоки из стали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т.3 диаметром 4 ± 0.5 мм на цилиндры длиной 4 ± 1 мм. Схема установки для ЭИЛ в среде гранул подробно описана в [6]. </w:t>
      </w:r>
    </w:p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Фазовый состав и структура покрытий исследовались с применением рентгеновского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дифрактометра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ДРОН-7 в </w:t>
      </w:r>
      <w:r w:rsidRPr="00114411">
        <w:rPr>
          <w:rFonts w:ascii="Times New Roman" w:hAnsi="Times New Roman" w:cs="Times New Roman"/>
          <w:sz w:val="22"/>
          <w:szCs w:val="22"/>
        </w:rPr>
        <w:t>Cu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-</w:t>
      </w:r>
      <w:proofErr w:type="spellStart"/>
      <w:r w:rsidRPr="00114411">
        <w:rPr>
          <w:rFonts w:ascii="Times New Roman" w:hAnsi="Times New Roman" w:cs="Times New Roman"/>
          <w:sz w:val="22"/>
          <w:szCs w:val="22"/>
        </w:rPr>
        <w:t>Kα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излучении и растрового электронного микроскопа (СЭМ) </w:t>
      </w:r>
      <w:r w:rsidRPr="00114411">
        <w:rPr>
          <w:rFonts w:ascii="Times New Roman" w:hAnsi="Times New Roman" w:cs="Times New Roman"/>
          <w:sz w:val="22"/>
          <w:szCs w:val="22"/>
        </w:rPr>
        <w:t>Sigma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300 </w:t>
      </w:r>
      <w:r w:rsidRPr="00114411">
        <w:rPr>
          <w:rFonts w:ascii="Times New Roman" w:hAnsi="Times New Roman" w:cs="Times New Roman"/>
          <w:sz w:val="22"/>
          <w:szCs w:val="22"/>
        </w:rPr>
        <w:t>VP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, оснащенного микрорентгеноспектральным анализатором </w:t>
      </w:r>
      <w:r w:rsidRPr="00114411">
        <w:rPr>
          <w:rFonts w:ascii="Times New Roman" w:hAnsi="Times New Roman" w:cs="Times New Roman"/>
          <w:sz w:val="22"/>
          <w:szCs w:val="22"/>
        </w:rPr>
        <w:t>INCA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4411">
        <w:rPr>
          <w:rFonts w:ascii="Times New Roman" w:hAnsi="Times New Roman" w:cs="Times New Roman"/>
          <w:sz w:val="22"/>
          <w:szCs w:val="22"/>
        </w:rPr>
        <w:t>Energy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. Износостойкость покрытий 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исследовалась по стандарту </w:t>
      </w:r>
      <w:r w:rsidRPr="00114411">
        <w:rPr>
          <w:rFonts w:ascii="Times New Roman" w:hAnsi="Times New Roman" w:cs="Times New Roman"/>
          <w:sz w:val="22"/>
          <w:szCs w:val="22"/>
        </w:rPr>
        <w:t>ASTM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4411">
        <w:rPr>
          <w:rFonts w:ascii="Times New Roman" w:hAnsi="Times New Roman" w:cs="Times New Roman"/>
          <w:sz w:val="22"/>
          <w:szCs w:val="22"/>
        </w:rPr>
        <w:t>G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99-17 при сухом трении скольжения с применением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контртела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в виде диска из быстрорежущей стали Р6М5 на скорости 0.47 мс</w:t>
      </w:r>
      <w:r w:rsidRPr="0011441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-1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при нагрузке 25 Н. Износ образцов измеряли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гравиметрическим способом с точностью 0.1 мг. Коэффициент трения был 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измерен в процессе испытания на износ с использованием бесконтактного динамического датчика момента вращения М 40-50. </w:t>
      </w:r>
    </w:p>
    <w:p w:rsidR="00114411" w:rsidRPr="00114411" w:rsidRDefault="00114411" w:rsidP="00114411">
      <w:pPr>
        <w:spacing w:line="30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/>
        </w:rPr>
      </w:pPr>
      <w:r w:rsidRPr="00114411">
        <w:rPr>
          <w:rFonts w:ascii="Times New Roman" w:eastAsia="Times New Roman" w:hAnsi="Times New Roman" w:cs="Times New Roman"/>
          <w:i/>
          <w:sz w:val="22"/>
          <w:szCs w:val="22"/>
          <w:lang w:val="ru-RU" w:eastAsia="ru-RU"/>
        </w:rPr>
        <w:t>Таблица 1</w:t>
      </w:r>
    </w:p>
    <w:p w:rsidR="00F5393A" w:rsidRPr="00114411" w:rsidRDefault="00114411" w:rsidP="00114411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</w:pPr>
      <w:r w:rsidRPr="00114411"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  <w:t>Концентрация карбида вольфрама в анодной смеси и обозначение покрытий</w:t>
      </w:r>
    </w:p>
    <w:tbl>
      <w:tblPr>
        <w:tblW w:w="948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-5" w:type="dxa"/>
        </w:tblCellMar>
        <w:tblLook w:val="0000"/>
      </w:tblPr>
      <w:tblGrid>
        <w:gridCol w:w="5285"/>
        <w:gridCol w:w="995"/>
        <w:gridCol w:w="1123"/>
        <w:gridCol w:w="991"/>
        <w:gridCol w:w="1091"/>
      </w:tblGrid>
      <w:tr w:rsidR="00F5393A" w:rsidRPr="00114411">
        <w:trPr>
          <w:trHeight w:val="369"/>
          <w:jc w:val="center"/>
        </w:trPr>
        <w:tc>
          <w:tcPr>
            <w:tcW w:w="5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ru-RU" w:eastAsia="ru-RU" w:bidi="hi-IN"/>
              </w:rPr>
            </w:pP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Наименование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</w:t>
            </w: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образцов</w:t>
            </w:r>
            <w:proofErr w:type="spellEnd"/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en-US"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W0</w:t>
            </w:r>
          </w:p>
        </w:tc>
        <w:tc>
          <w:tcPr>
            <w:tcW w:w="1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W0.6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W1.2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W1.8</w:t>
            </w:r>
          </w:p>
        </w:tc>
      </w:tr>
      <w:tr w:rsidR="00F5393A" w:rsidRPr="00114411">
        <w:trPr>
          <w:trHeight w:val="369"/>
          <w:jc w:val="center"/>
        </w:trPr>
        <w:tc>
          <w:tcPr>
            <w:tcW w:w="5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Концентрация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 xml:space="preserve"> WC, </w:t>
            </w: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об</w:t>
            </w:r>
            <w:proofErr w:type="spellEnd"/>
            <w:proofErr w:type="gramStart"/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.%</w:t>
            </w:r>
            <w:proofErr w:type="gramEnd"/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val="en-US"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0.6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1.2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1.8</w:t>
            </w:r>
          </w:p>
        </w:tc>
      </w:tr>
      <w:tr w:rsidR="00F5393A" w:rsidRPr="00114411">
        <w:trPr>
          <w:trHeight w:val="369"/>
          <w:jc w:val="center"/>
        </w:trPr>
        <w:tc>
          <w:tcPr>
            <w:tcW w:w="5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Концентрация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 xml:space="preserve"> </w:t>
            </w: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многокомпонентной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 xml:space="preserve"> </w:t>
            </w: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шихты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 xml:space="preserve">, </w:t>
            </w: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об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. %</w:t>
            </w:r>
          </w:p>
        </w:tc>
        <w:tc>
          <w:tcPr>
            <w:tcW w:w="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8.4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7.8</w:t>
            </w:r>
          </w:p>
        </w:tc>
        <w:tc>
          <w:tcPr>
            <w:tcW w:w="1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  <w:vAlign w:val="bottom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7.2</w:t>
            </w:r>
          </w:p>
        </w:tc>
      </w:tr>
    </w:tbl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Рентгенофазовый анализ покрытий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0.6 –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1.8 показал присутствие острых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Брегговских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рефлексов карбида вольфрама, вольфрама и железа подложки (</w:t>
      </w:r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ис. 1). </w:t>
      </w: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>
            <wp:extent cx="2232561" cy="2232561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i/>
          <w:sz w:val="22"/>
          <w:szCs w:val="22"/>
          <w:lang w:val="ru-RU"/>
        </w:rPr>
        <w:t>Рис. 1.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Рентгеновские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дифрактограммы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осажденных покрытий.</w:t>
      </w:r>
    </w:p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Концентрация карбида вольфрама в составе покрытий с ростом добавки порошка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в анодной смеси увеличивалась немонотонно (</w:t>
      </w:r>
      <w:r>
        <w:rPr>
          <w:rFonts w:ascii="Times New Roman" w:hAnsi="Times New Roman" w:cs="Times New Roman"/>
          <w:sz w:val="22"/>
          <w:szCs w:val="22"/>
          <w:lang w:val="ru-RU"/>
        </w:rPr>
        <w:t>т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абл. 2). Снижение концентрации карбида вольфрама в покрытии при увеличении добавки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выше 1.2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об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>%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м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ожет объясняться ухудшением условий возникновения разрядов и снижением их количества из-за переизбытка порошка. Максимальная концентрация фазы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в покрытии достигала 63 об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%, 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ч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то практически недостижимо для ЭИЛ стали 45 стандартными электродами системы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Co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по причине высокой активности расплавленного железа к обезуглероживанию карбида вольфрама [7]. В данном случае, сохранение фазы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в покрытии объясняется присутствием графита в порошке МСП, который насыщает 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железо углеродом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, снижая его активность к обезуглероживанию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[8]. Тем не менее, часть карбида вольфрама подвергалась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декарбидизации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с образованием вольфрама, что можно описать уравнением реакции 1:</w:t>
      </w:r>
    </w:p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+3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Fe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=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+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Fe</w:t>
      </w:r>
      <w:r w:rsidRPr="00114411">
        <w:rPr>
          <w:rFonts w:ascii="Times New Roman" w:hAnsi="Times New Roman" w:cs="Times New Roman"/>
          <w:sz w:val="22"/>
          <w:szCs w:val="22"/>
          <w:vertAlign w:val="subscript"/>
          <w:lang w:val="ru-RU"/>
        </w:rPr>
        <w:t>3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(1) </w:t>
      </w:r>
    </w:p>
    <w:p w:rsidR="00114411" w:rsidRPr="00114411" w:rsidRDefault="00114411" w:rsidP="00114411">
      <w:pPr>
        <w:spacing w:line="300" w:lineRule="auto"/>
        <w:jc w:val="right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i/>
          <w:sz w:val="22"/>
          <w:szCs w:val="22"/>
          <w:lang w:val="ru-RU"/>
        </w:rPr>
        <w:t>Таблица 2</w:t>
      </w: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b/>
          <w:sz w:val="22"/>
          <w:szCs w:val="22"/>
          <w:lang w:val="ru-RU"/>
        </w:rPr>
        <w:t>Соотношение кристаллических фаз в покрытиях по результатам полуколичественного рентгенофазового анализа.</w:t>
      </w:r>
    </w:p>
    <w:tbl>
      <w:tblPr>
        <w:tblW w:w="6296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-5" w:type="dxa"/>
        </w:tblCellMar>
        <w:tblLook w:val="0000"/>
      </w:tblPr>
      <w:tblGrid>
        <w:gridCol w:w="1756"/>
        <w:gridCol w:w="1491"/>
        <w:gridCol w:w="1504"/>
        <w:gridCol w:w="1545"/>
      </w:tblGrid>
      <w:tr w:rsidR="00F5393A" w:rsidRPr="00114411" w:rsidTr="00114411">
        <w:trPr>
          <w:cantSplit/>
          <w:trHeight w:val="250"/>
          <w:jc w:val="center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Образцы</w:t>
            </w:r>
            <w:proofErr w:type="spellEnd"/>
          </w:p>
          <w:p w:rsidR="00F5393A" w:rsidRPr="00C139EC" w:rsidRDefault="00F5393A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</w:p>
        </w:tc>
        <w:tc>
          <w:tcPr>
            <w:tcW w:w="4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Содержание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</w:t>
            </w: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фаз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, </w:t>
            </w:r>
            <w:proofErr w:type="spellStart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об</w:t>
            </w:r>
            <w:proofErr w:type="spellEnd"/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. %</w:t>
            </w:r>
          </w:p>
        </w:tc>
      </w:tr>
      <w:tr w:rsidR="00F5393A" w:rsidRPr="00114411" w:rsidTr="00114411">
        <w:trPr>
          <w:cantSplit/>
          <w:trHeight w:val="250"/>
          <w:jc w:val="center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F5393A" w:rsidP="00114411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Fe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WC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W</w:t>
            </w:r>
          </w:p>
        </w:tc>
      </w:tr>
      <w:tr w:rsidR="00F5393A" w:rsidRPr="00114411" w:rsidTr="00114411">
        <w:trPr>
          <w:trHeight w:val="250"/>
          <w:jc w:val="center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W</w:t>
            </w: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0.</w:t>
            </w:r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6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45.8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39.55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14.6</w:t>
            </w:r>
          </w:p>
        </w:tc>
      </w:tr>
      <w:tr w:rsidR="00F5393A" w:rsidRPr="00114411" w:rsidTr="00114411">
        <w:trPr>
          <w:trHeight w:val="250"/>
          <w:jc w:val="center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W1</w:t>
            </w: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.</w:t>
            </w:r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15.3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63.1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21.6</w:t>
            </w:r>
          </w:p>
        </w:tc>
      </w:tr>
      <w:tr w:rsidR="00F5393A" w:rsidRPr="00114411" w:rsidTr="00114411">
        <w:trPr>
          <w:trHeight w:val="250"/>
          <w:jc w:val="center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W1</w:t>
            </w: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.</w:t>
            </w:r>
            <w:r w:rsidRPr="00C139EC">
              <w:rPr>
                <w:rFonts w:ascii="Times New Roman" w:eastAsia="Times New Roman" w:hAnsi="Times New Roman" w:cs="Times New Roman"/>
                <w:lang w:val="en-US" w:eastAsia="ru-RU" w:bidi="hi-IN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26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48.8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93A" w:rsidRPr="00C139EC" w:rsidRDefault="00114411" w:rsidP="0011441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C139EC">
              <w:rPr>
                <w:rFonts w:ascii="Times New Roman" w:eastAsia="Times New Roman" w:hAnsi="Times New Roman" w:cs="Times New Roman"/>
                <w:lang w:eastAsia="ru-RU" w:bidi="hi-IN"/>
              </w:rPr>
              <w:t>25.2</w:t>
            </w:r>
          </w:p>
        </w:tc>
      </w:tr>
    </w:tbl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>В сеч</w:t>
      </w:r>
      <w:bookmarkStart w:id="0" w:name="_GoBack"/>
      <w:bookmarkEnd w:id="0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ении покрытия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1.2 (</w:t>
      </w:r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ис. 2)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н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аблюдались светлые включения со средним диаметром 1.8±0.9 мкм, которые представляют собой агломераты зерен карбида вольфрама. Удельный объем этих включений значительно ниже, чем демонстрируют данные рентгенофазового анализа. Это объясняется, тем, что значительный объем покрытия занимает аморфная фаза. Концентрация железа 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в составе покрытия находилась на уровне 55 – 60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ат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. %, тогда как содержание остальных элементов в среднем составляло от 3 до 4.5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ат.%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anchor distT="0" distB="0" distL="171450" distR="120650" simplePos="0" relativeHeight="2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-3175</wp:posOffset>
            </wp:positionV>
            <wp:extent cx="2774315" cy="20662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0494" r="4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411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>
            <wp:extent cx="2790825" cy="2093595"/>
            <wp:effectExtent l="0" t="0" r="0" b="0"/>
            <wp:docPr id="3" name="Рисунок 3" descr="Graphical abstrac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raphical abstract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</w:t>
      </w: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>а)                                                         б)</w:t>
      </w: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i/>
          <w:sz w:val="22"/>
          <w:szCs w:val="22"/>
          <w:lang w:val="ru-RU"/>
        </w:rPr>
        <w:t>Рис. 2.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СЭМ изображение покрытия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>1,2 (а) и ЭДС спектр светлого включения (б),</w:t>
      </w:r>
    </w:p>
    <w:p w:rsidR="00F5393A" w:rsidRPr="00114411" w:rsidRDefault="00114411" w:rsidP="00114411">
      <w:pPr>
        <w:spacing w:line="300" w:lineRule="auto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Кинетика изменения коэффициента трения образцов при испытании на износ в режиме сухого скольжения показана на </w:t>
      </w:r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ис. 3. </w:t>
      </w:r>
    </w:p>
    <w:p w:rsidR="00F5393A" w:rsidRPr="00114411" w:rsidRDefault="00114411" w:rsidP="00114411">
      <w:pPr>
        <w:spacing w:line="300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>
            <wp:extent cx="2719705" cy="271970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93A" w:rsidRPr="00114411" w:rsidRDefault="00114411" w:rsidP="00114411">
      <w:pPr>
        <w:spacing w:line="300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i/>
          <w:sz w:val="22"/>
          <w:szCs w:val="22"/>
          <w:lang w:val="ru-RU"/>
        </w:rPr>
        <w:t>Рис. 3.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Коэффициент трения покрытий по сравнению со сталью 45.</w:t>
      </w:r>
    </w:p>
    <w:p w:rsidR="00F5393A" w:rsidRPr="00114411" w:rsidRDefault="00114411" w:rsidP="00114411">
      <w:pPr>
        <w:spacing w:line="300" w:lineRule="auto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Средние значения коэффициента трения покрытий с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находились в диапазоне от 0.6 до 0.67, что ниже, чем у полностью аморфного покрытия и стали 45 примерно на 30%. Наиболее низкие значения коэффициента трения наблюдались у образца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1.2. В случае стали без покрытия на кривых коэффициента трения наблюдался высокий уровень шума, который объясняется периодическим формированием и разрушением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трибооксидного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слоя [9].</w:t>
      </w:r>
    </w:p>
    <w:p w:rsidR="00F5393A" w:rsidRPr="00114411" w:rsidRDefault="00114411" w:rsidP="00114411">
      <w:pPr>
        <w:spacing w:line="30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>Результаты испытания покрытий на износ в режиме сухого скольжения показали, что интенсивность изнашивания находилась в диапазоне 0.5 ‒ 1.1 × 10</w:t>
      </w:r>
      <w:r w:rsidRPr="0011441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-5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мм</w:t>
      </w:r>
      <w:r w:rsidRPr="00114411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3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/Нм, что ниже, чем у стали 45 от 4 до 8 раз. Износ аморфного образца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0 был в 3.6 раз выше, чем у наиболее износостойкого образца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1.2. Таким образом, оптимальная величина добавки порошка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в смеси гранул, при осаждении покрытий для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триботехнических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применений составляет 1.2 </w:t>
      </w:r>
      <w:proofErr w:type="spellStart"/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об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>.%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F5393A" w:rsidRPr="00114411" w:rsidRDefault="00114411" w:rsidP="00114411">
      <w:pPr>
        <w:spacing w:line="30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>Выводы</w:t>
      </w:r>
    </w:p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1. </w:t>
      </w:r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 xml:space="preserve">Добавление карбида вольфрама к смеси железных гранул с </w:t>
      </w:r>
      <w:proofErr w:type="spellStart"/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>аморфизирующимся</w:t>
      </w:r>
      <w:proofErr w:type="spellEnd"/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 xml:space="preserve"> порошком при электроискровой обработке стали 45, приводит к получению покрытий из металлических стекол, </w:t>
      </w:r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lastRenderedPageBreak/>
        <w:t xml:space="preserve">армированных частицами α-WC. С ростом добавки </w:t>
      </w:r>
      <w:r w:rsidRPr="00114411">
        <w:rPr>
          <w:rFonts w:ascii="Times New Roman" w:eastAsia="WenQuanYi Micro Hei;Arial Unico" w:hAnsi="Times New Roman" w:cs="Times New Roman"/>
          <w:sz w:val="22"/>
          <w:szCs w:val="22"/>
          <w:lang w:val="en-US"/>
        </w:rPr>
        <w:t>WC</w:t>
      </w:r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 xml:space="preserve"> от 0.6 до 1.2 </w:t>
      </w:r>
      <w:proofErr w:type="spellStart"/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>об</w:t>
      </w:r>
      <w:proofErr w:type="gramStart"/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>.</w:t>
      </w:r>
      <w:proofErr w:type="gramEnd"/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>%</w:t>
      </w:r>
      <w:proofErr w:type="spellEnd"/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>п</w:t>
      </w:r>
      <w:proofErr w:type="gramEnd"/>
      <w:r w:rsidRPr="00114411">
        <w:rPr>
          <w:rFonts w:ascii="Times New Roman" w:eastAsia="WenQuanYi Micro Hei;Arial Unico" w:hAnsi="Times New Roman" w:cs="Times New Roman"/>
          <w:sz w:val="22"/>
          <w:szCs w:val="22"/>
          <w:lang w:val="ru-RU"/>
        </w:rPr>
        <w:t xml:space="preserve">овышалась концентрация карбида вольфрама в покрытии. </w:t>
      </w:r>
    </w:p>
    <w:p w:rsidR="00F5393A" w:rsidRPr="00114411" w:rsidRDefault="00114411" w:rsidP="00114411">
      <w:pPr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2. Армирование аморфного покрытия карбидом вольфрама повышает его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микротвердость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с 743 до 1118 </w:t>
      </w:r>
      <w:r w:rsidRPr="00114411">
        <w:rPr>
          <w:rFonts w:ascii="Times New Roman" w:hAnsi="Times New Roman" w:cs="Times New Roman"/>
          <w:sz w:val="22"/>
          <w:szCs w:val="22"/>
          <w:lang w:val="en-US"/>
        </w:rPr>
        <w:t>HV</w:t>
      </w:r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, снижает коэффициент трения до 30% и улучшает износостойкость в 3.6 раза. Лучшие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триботехнические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свойства продемонстрировало покрытие с добавкой 1.2 </w:t>
      </w:r>
      <w:proofErr w:type="spell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об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>%</w:t>
      </w:r>
      <w:proofErr w:type="spell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114411">
        <w:rPr>
          <w:rFonts w:ascii="Times New Roman" w:hAnsi="Times New Roman" w:cs="Times New Roman"/>
          <w:sz w:val="22"/>
          <w:szCs w:val="22"/>
          <w:lang w:val="ru-RU"/>
        </w:rPr>
        <w:t>к</w:t>
      </w:r>
      <w:proofErr w:type="gramEnd"/>
      <w:r w:rsidRPr="00114411">
        <w:rPr>
          <w:rFonts w:ascii="Times New Roman" w:hAnsi="Times New Roman" w:cs="Times New Roman"/>
          <w:sz w:val="22"/>
          <w:szCs w:val="22"/>
          <w:lang w:val="ru-RU"/>
        </w:rPr>
        <w:t xml:space="preserve">арбида вольфрама. </w:t>
      </w:r>
    </w:p>
    <w:p w:rsidR="00F5393A" w:rsidRPr="00114411" w:rsidRDefault="00F5393A" w:rsidP="00114411">
      <w:pPr>
        <w:spacing w:line="30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5393A" w:rsidRPr="00114411" w:rsidRDefault="00114411" w:rsidP="00114411">
      <w:pPr>
        <w:spacing w:line="30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14411">
        <w:rPr>
          <w:rFonts w:ascii="Times New Roman" w:hAnsi="Times New Roman" w:cs="Times New Roman"/>
          <w:b/>
          <w:sz w:val="22"/>
          <w:szCs w:val="22"/>
        </w:rPr>
        <w:t>Л И Т Е Р А Т У Р А</w:t>
      </w:r>
    </w:p>
    <w:p w:rsidR="00F5393A" w:rsidRPr="00114411" w:rsidRDefault="00F5393A" w:rsidP="00114411">
      <w:pPr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hAnsi="Times New Roman" w:cs="Times New Roman"/>
        </w:rPr>
      </w:pPr>
      <w:r w:rsidRPr="00C139EC">
        <w:rPr>
          <w:rFonts w:ascii="Times New Roman" w:hAnsi="Times New Roman" w:cs="Times New Roman"/>
          <w:lang w:val="en-US"/>
        </w:rPr>
        <w:t xml:space="preserve">1. Huang S. W., </w:t>
      </w:r>
      <w:proofErr w:type="spellStart"/>
      <w:r w:rsidRPr="00C139EC">
        <w:rPr>
          <w:rFonts w:ascii="Times New Roman" w:hAnsi="Times New Roman" w:cs="Times New Roman"/>
          <w:lang w:val="en-US"/>
        </w:rPr>
        <w:t>Samandi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M., Brandt M. Abrasive wear performance and microstructure of laser clad WC/Ni layers //Wear. – 2004. </w:t>
      </w:r>
      <w:proofErr w:type="gramStart"/>
      <w:r w:rsidRPr="00C139EC">
        <w:rPr>
          <w:rFonts w:ascii="Times New Roman" w:hAnsi="Times New Roman" w:cs="Times New Roman"/>
          <w:lang w:val="en-US"/>
        </w:rPr>
        <w:t>– Т. 256.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№. 11-12. – С. 1095-1105.</w:t>
      </w:r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hAnsi="Times New Roman" w:cs="Times New Roman"/>
          <w:lang w:val="en-US"/>
        </w:rPr>
      </w:pPr>
      <w:r w:rsidRPr="00C139EC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C139EC">
        <w:rPr>
          <w:rFonts w:ascii="Times New Roman" w:hAnsi="Times New Roman" w:cs="Times New Roman"/>
          <w:lang w:val="en-US"/>
        </w:rPr>
        <w:t>Vespa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P. et al. Analysis of WC/Ni-based coatings deposited by controlled </w:t>
      </w:r>
      <w:proofErr w:type="gramStart"/>
      <w:r w:rsidRPr="00C139EC">
        <w:rPr>
          <w:rFonts w:ascii="Times New Roman" w:hAnsi="Times New Roman" w:cs="Times New Roman"/>
          <w:lang w:val="en-US"/>
        </w:rPr>
        <w:t>short-circuit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MIG welding //Journal of materials engineering and performance. – 2012. </w:t>
      </w:r>
      <w:proofErr w:type="gramStart"/>
      <w:r w:rsidRPr="00C139EC">
        <w:rPr>
          <w:rFonts w:ascii="Times New Roman" w:hAnsi="Times New Roman" w:cs="Times New Roman"/>
          <w:lang w:val="en-US"/>
        </w:rPr>
        <w:t>– Т. 21.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№. 6. – С. 865-876.</w:t>
      </w:r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hAnsi="Times New Roman" w:cs="Times New Roman"/>
          <w:lang w:val="en-US"/>
        </w:rPr>
      </w:pPr>
      <w:r w:rsidRPr="00C139EC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C139EC">
        <w:rPr>
          <w:rFonts w:ascii="Times New Roman" w:hAnsi="Times New Roman" w:cs="Times New Roman"/>
          <w:lang w:val="en-US"/>
        </w:rPr>
        <w:t>Hasanabadi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M. F. et al. Production of amorphous and </w:t>
      </w:r>
      <w:proofErr w:type="spellStart"/>
      <w:r w:rsidRPr="00C139EC">
        <w:rPr>
          <w:rFonts w:ascii="Times New Roman" w:hAnsi="Times New Roman" w:cs="Times New Roman"/>
          <w:lang w:val="en-US"/>
        </w:rPr>
        <w:t>nanocrystalline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iron based coatings by electro-spark deposition process //Surface and Coatings Technology. – 2015. </w:t>
      </w:r>
      <w:proofErr w:type="gramStart"/>
      <w:r w:rsidRPr="00C139EC">
        <w:rPr>
          <w:rFonts w:ascii="Times New Roman" w:hAnsi="Times New Roman" w:cs="Times New Roman"/>
          <w:lang w:val="en-US"/>
        </w:rPr>
        <w:t xml:space="preserve">– </w:t>
      </w:r>
      <w:r w:rsidRPr="00C139EC">
        <w:rPr>
          <w:rFonts w:ascii="Times New Roman" w:hAnsi="Times New Roman" w:cs="Times New Roman"/>
          <w:lang w:val="ru-RU"/>
        </w:rPr>
        <w:t>Т</w:t>
      </w:r>
      <w:r w:rsidRPr="00C139EC">
        <w:rPr>
          <w:rFonts w:ascii="Times New Roman" w:hAnsi="Times New Roman" w:cs="Times New Roman"/>
          <w:lang w:val="en-US"/>
        </w:rPr>
        <w:t>. 270.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</w:t>
      </w:r>
      <w:proofErr w:type="gramStart"/>
      <w:r w:rsidRPr="00C139EC">
        <w:rPr>
          <w:rFonts w:ascii="Times New Roman" w:hAnsi="Times New Roman" w:cs="Times New Roman"/>
          <w:lang w:val="ru-RU"/>
        </w:rPr>
        <w:t>С</w:t>
      </w:r>
      <w:r w:rsidRPr="00C139EC">
        <w:rPr>
          <w:rFonts w:ascii="Times New Roman" w:hAnsi="Times New Roman" w:cs="Times New Roman"/>
          <w:lang w:val="en-US"/>
        </w:rPr>
        <w:t>. 95</w:t>
      </w:r>
      <w:proofErr w:type="gramEnd"/>
      <w:r w:rsidRPr="00C139EC">
        <w:rPr>
          <w:rFonts w:ascii="Times New Roman" w:hAnsi="Times New Roman" w:cs="Times New Roman"/>
          <w:lang w:val="en-US"/>
        </w:rPr>
        <w:t>-101.</w:t>
      </w:r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hAnsi="Times New Roman" w:cs="Times New Roman"/>
          <w:lang w:val="en-US"/>
        </w:rPr>
      </w:pPr>
      <w:proofErr w:type="gramStart"/>
      <w:r w:rsidRPr="00C139EC">
        <w:rPr>
          <w:rFonts w:ascii="Times New Roman" w:hAnsi="Times New Roman" w:cs="Times New Roman"/>
          <w:lang w:val="en-US"/>
        </w:rPr>
        <w:t xml:space="preserve">4. Wang D. et al. Effect of </w:t>
      </w:r>
      <w:proofErr w:type="spellStart"/>
      <w:r w:rsidRPr="00C139EC">
        <w:rPr>
          <w:rFonts w:ascii="Times New Roman" w:hAnsi="Times New Roman" w:cs="Times New Roman"/>
          <w:lang w:val="en-US"/>
        </w:rPr>
        <w:t>TaC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particles on the microstructure and oxidation behavior of </w:t>
      </w:r>
      <w:proofErr w:type="spellStart"/>
      <w:r w:rsidRPr="00C139EC">
        <w:rPr>
          <w:rFonts w:ascii="Times New Roman" w:hAnsi="Times New Roman" w:cs="Times New Roman"/>
          <w:lang w:val="en-US"/>
        </w:rPr>
        <w:t>NiCoCrAlYTa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coating prepared by </w:t>
      </w:r>
      <w:proofErr w:type="spellStart"/>
      <w:r w:rsidRPr="00C139EC">
        <w:rPr>
          <w:rFonts w:ascii="Times New Roman" w:hAnsi="Times New Roman" w:cs="Times New Roman"/>
          <w:lang w:val="en-US"/>
        </w:rPr>
        <w:t>electrospark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deposition on single crystal </w:t>
      </w:r>
      <w:proofErr w:type="spellStart"/>
      <w:r w:rsidRPr="00C139EC">
        <w:rPr>
          <w:rFonts w:ascii="Times New Roman" w:hAnsi="Times New Roman" w:cs="Times New Roman"/>
          <w:lang w:val="en-US"/>
        </w:rPr>
        <w:t>superalloy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//Surface and Coatings Technology.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2021. </w:t>
      </w:r>
      <w:proofErr w:type="gramStart"/>
      <w:r w:rsidRPr="00C139EC">
        <w:rPr>
          <w:rFonts w:ascii="Times New Roman" w:hAnsi="Times New Roman" w:cs="Times New Roman"/>
          <w:lang w:val="en-US"/>
        </w:rPr>
        <w:t>– Т. 408.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139EC">
        <w:rPr>
          <w:rFonts w:ascii="Times New Roman" w:hAnsi="Times New Roman" w:cs="Times New Roman"/>
          <w:lang w:val="en-US"/>
        </w:rPr>
        <w:t>– С. 126851.</w:t>
      </w:r>
      <w:proofErr w:type="gramEnd"/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hAnsi="Times New Roman" w:cs="Times New Roman"/>
          <w:lang w:val="ru-RU"/>
        </w:rPr>
      </w:pPr>
      <w:r w:rsidRPr="00C139EC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C139EC">
        <w:rPr>
          <w:rFonts w:ascii="Times New Roman" w:hAnsi="Times New Roman" w:cs="Times New Roman"/>
          <w:lang w:val="en-US"/>
        </w:rPr>
        <w:t>Burkov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A. A. et al. </w:t>
      </w:r>
      <w:proofErr w:type="gramStart"/>
      <w:r w:rsidRPr="00C139EC">
        <w:rPr>
          <w:rFonts w:ascii="Times New Roman" w:hAnsi="Times New Roman" w:cs="Times New Roman"/>
          <w:lang w:val="en-US"/>
        </w:rPr>
        <w:t xml:space="preserve">In situ synthesis and characterization of Fe-based metallic glass coatings by </w:t>
      </w:r>
      <w:proofErr w:type="spellStart"/>
      <w:r w:rsidRPr="00C139EC">
        <w:rPr>
          <w:rFonts w:ascii="Times New Roman" w:hAnsi="Times New Roman" w:cs="Times New Roman"/>
          <w:lang w:val="en-US"/>
        </w:rPr>
        <w:t>electrospark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deposition technique //Journal of Materials Engineering and Performance.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2017. </w:t>
      </w:r>
      <w:proofErr w:type="gramStart"/>
      <w:r w:rsidRPr="00C139EC">
        <w:rPr>
          <w:rFonts w:ascii="Times New Roman" w:hAnsi="Times New Roman" w:cs="Times New Roman"/>
          <w:lang w:val="en-US"/>
        </w:rPr>
        <w:t xml:space="preserve">– </w:t>
      </w:r>
      <w:r w:rsidRPr="00C139EC">
        <w:rPr>
          <w:rFonts w:ascii="Times New Roman" w:hAnsi="Times New Roman" w:cs="Times New Roman"/>
          <w:lang w:val="ru-RU"/>
        </w:rPr>
        <w:t>Т</w:t>
      </w:r>
      <w:r w:rsidRPr="00C139EC">
        <w:rPr>
          <w:rFonts w:ascii="Times New Roman" w:hAnsi="Times New Roman" w:cs="Times New Roman"/>
          <w:lang w:val="en-US"/>
        </w:rPr>
        <w:t>. 26.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№. </w:t>
      </w:r>
      <w:r w:rsidRPr="00C139EC">
        <w:rPr>
          <w:rFonts w:ascii="Times New Roman" w:hAnsi="Times New Roman" w:cs="Times New Roman"/>
          <w:lang w:val="ru-RU"/>
        </w:rPr>
        <w:t>2. – С. 901-908.</w:t>
      </w:r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hAnsi="Times New Roman" w:cs="Times New Roman"/>
          <w:lang w:val="en-US"/>
        </w:rPr>
      </w:pPr>
      <w:r w:rsidRPr="00C139EC">
        <w:rPr>
          <w:rFonts w:ascii="Times New Roman" w:hAnsi="Times New Roman" w:cs="Times New Roman"/>
          <w:lang w:val="ru-RU"/>
        </w:rPr>
        <w:t xml:space="preserve">6. Бурков А. А. Получение аморфных покрытий электроискровой обработкой стали 35 в смеси железных гранул с </w:t>
      </w:r>
      <w:proofErr w:type="spellStart"/>
      <w:r w:rsidRPr="00C139EC">
        <w:rPr>
          <w:rFonts w:ascii="Times New Roman" w:hAnsi="Times New Roman" w:cs="Times New Roman"/>
          <w:lang w:val="en-US"/>
        </w:rPr>
        <w:t>CrMoWCBSi</w:t>
      </w:r>
      <w:proofErr w:type="spellEnd"/>
      <w:r w:rsidRPr="00C139EC">
        <w:rPr>
          <w:rFonts w:ascii="Times New Roman" w:hAnsi="Times New Roman" w:cs="Times New Roman"/>
          <w:lang w:val="ru-RU"/>
        </w:rPr>
        <w:t xml:space="preserve"> порошком //Обработка металлов (технология, оборудование, инструменты). – 2019. – Т. 21. – №. </w:t>
      </w:r>
      <w:r w:rsidRPr="00C139EC">
        <w:rPr>
          <w:rFonts w:ascii="Times New Roman" w:hAnsi="Times New Roman" w:cs="Times New Roman"/>
          <w:lang w:val="en-US"/>
        </w:rPr>
        <w:t xml:space="preserve">4. – </w:t>
      </w:r>
      <w:proofErr w:type="gramStart"/>
      <w:r w:rsidRPr="00C139EC">
        <w:rPr>
          <w:rFonts w:ascii="Times New Roman" w:hAnsi="Times New Roman" w:cs="Times New Roman"/>
          <w:lang w:val="en-US"/>
        </w:rPr>
        <w:t>С. 19</w:t>
      </w:r>
      <w:proofErr w:type="gramEnd"/>
      <w:r w:rsidRPr="00C139EC">
        <w:rPr>
          <w:rFonts w:ascii="Times New Roman" w:hAnsi="Times New Roman" w:cs="Times New Roman"/>
          <w:lang w:val="en-US"/>
        </w:rPr>
        <w:t>-30.</w:t>
      </w:r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hAnsi="Times New Roman" w:cs="Times New Roman"/>
          <w:lang w:val="en-US"/>
        </w:rPr>
      </w:pPr>
      <w:r w:rsidRPr="00C139EC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C139EC">
        <w:rPr>
          <w:rFonts w:ascii="Times New Roman" w:hAnsi="Times New Roman" w:cs="Times New Roman"/>
          <w:lang w:val="en-US"/>
        </w:rPr>
        <w:t>Burkov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A. A., </w:t>
      </w:r>
      <w:proofErr w:type="spellStart"/>
      <w:r w:rsidRPr="00C139EC">
        <w:rPr>
          <w:rFonts w:ascii="Times New Roman" w:hAnsi="Times New Roman" w:cs="Times New Roman"/>
          <w:lang w:val="en-US"/>
        </w:rPr>
        <w:t>Pyachin</w:t>
      </w:r>
      <w:proofErr w:type="spellEnd"/>
      <w:r w:rsidRPr="00C139EC">
        <w:rPr>
          <w:rFonts w:ascii="Times New Roman" w:hAnsi="Times New Roman" w:cs="Times New Roman"/>
          <w:lang w:val="en-US"/>
        </w:rPr>
        <w:t xml:space="preserve"> S. A. Tungsten carbide decarburization by electrical discharges //Solid State Phenomena. – Trans Tech Publications Ltd, 2014. </w:t>
      </w:r>
      <w:proofErr w:type="gramStart"/>
      <w:r w:rsidRPr="00C139EC">
        <w:rPr>
          <w:rFonts w:ascii="Times New Roman" w:hAnsi="Times New Roman" w:cs="Times New Roman"/>
          <w:lang w:val="en-US"/>
        </w:rPr>
        <w:t xml:space="preserve">– </w:t>
      </w:r>
      <w:r w:rsidRPr="00C139EC">
        <w:rPr>
          <w:rFonts w:ascii="Times New Roman" w:hAnsi="Times New Roman" w:cs="Times New Roman"/>
          <w:lang w:val="ru-RU"/>
        </w:rPr>
        <w:t>Т</w:t>
      </w:r>
      <w:r w:rsidRPr="00C139EC">
        <w:rPr>
          <w:rFonts w:ascii="Times New Roman" w:hAnsi="Times New Roman" w:cs="Times New Roman"/>
          <w:lang w:val="en-US"/>
        </w:rPr>
        <w:t>. 213.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</w:t>
      </w:r>
      <w:proofErr w:type="gramStart"/>
      <w:r w:rsidRPr="00C139EC">
        <w:rPr>
          <w:rFonts w:ascii="Times New Roman" w:hAnsi="Times New Roman" w:cs="Times New Roman"/>
          <w:lang w:val="ru-RU"/>
        </w:rPr>
        <w:t>С</w:t>
      </w:r>
      <w:r w:rsidRPr="00C139EC">
        <w:rPr>
          <w:rFonts w:ascii="Times New Roman" w:hAnsi="Times New Roman" w:cs="Times New Roman"/>
          <w:lang w:val="en-US"/>
        </w:rPr>
        <w:t>. 131</w:t>
      </w:r>
      <w:proofErr w:type="gramEnd"/>
      <w:r w:rsidRPr="00C139EC">
        <w:rPr>
          <w:rFonts w:ascii="Times New Roman" w:hAnsi="Times New Roman" w:cs="Times New Roman"/>
          <w:lang w:val="en-US"/>
        </w:rPr>
        <w:t>-136.</w:t>
      </w:r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hAnsi="Times New Roman" w:cs="Times New Roman"/>
        </w:rPr>
      </w:pPr>
      <w:r w:rsidRPr="00C139EC">
        <w:rPr>
          <w:rFonts w:ascii="Times New Roman" w:hAnsi="Times New Roman" w:cs="Times New Roman"/>
          <w:lang w:val="en-US"/>
        </w:rPr>
        <w:t xml:space="preserve">8. Stott F. H., Jordan M. P. </w:t>
      </w:r>
      <w:proofErr w:type="gramStart"/>
      <w:r w:rsidRPr="00C139EC">
        <w:rPr>
          <w:rFonts w:ascii="Times New Roman" w:hAnsi="Times New Roman" w:cs="Times New Roman"/>
          <w:lang w:val="en-US"/>
        </w:rPr>
        <w:t>The effects of load and substrate hardness on the development and maintenance of wear-protective layers during sliding at elevated temperatures //Wear.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2001. </w:t>
      </w:r>
      <w:proofErr w:type="gramStart"/>
      <w:r w:rsidRPr="00C139EC">
        <w:rPr>
          <w:rFonts w:ascii="Times New Roman" w:hAnsi="Times New Roman" w:cs="Times New Roman"/>
          <w:lang w:val="en-US"/>
        </w:rPr>
        <w:t xml:space="preserve">– </w:t>
      </w:r>
      <w:r w:rsidRPr="00C139EC">
        <w:rPr>
          <w:rFonts w:ascii="Times New Roman" w:hAnsi="Times New Roman" w:cs="Times New Roman"/>
          <w:lang w:val="ru-RU"/>
        </w:rPr>
        <w:t>Т</w:t>
      </w:r>
      <w:r w:rsidRPr="00C139EC">
        <w:rPr>
          <w:rFonts w:ascii="Times New Roman" w:hAnsi="Times New Roman" w:cs="Times New Roman"/>
          <w:lang w:val="en-US"/>
        </w:rPr>
        <w:t>. 250.</w:t>
      </w:r>
      <w:proofErr w:type="gramEnd"/>
      <w:r w:rsidRPr="00C139EC">
        <w:rPr>
          <w:rFonts w:ascii="Times New Roman" w:hAnsi="Times New Roman" w:cs="Times New Roman"/>
          <w:lang w:val="en-US"/>
        </w:rPr>
        <w:t xml:space="preserve"> – №. 1-12. – </w:t>
      </w:r>
      <w:r w:rsidRPr="00C139EC">
        <w:rPr>
          <w:rFonts w:ascii="Times New Roman" w:hAnsi="Times New Roman" w:cs="Times New Roman"/>
          <w:lang w:val="ru-RU"/>
        </w:rPr>
        <w:t>С</w:t>
      </w:r>
      <w:r w:rsidRPr="00C139EC">
        <w:rPr>
          <w:rFonts w:ascii="Times New Roman" w:hAnsi="Times New Roman" w:cs="Times New Roman"/>
          <w:lang w:val="en-US"/>
        </w:rPr>
        <w:t>. 391-400.</w:t>
      </w:r>
    </w:p>
    <w:p w:rsidR="00F5393A" w:rsidRPr="00C139EC" w:rsidRDefault="00114411" w:rsidP="00114411">
      <w:pPr>
        <w:spacing w:line="300" w:lineRule="auto"/>
        <w:ind w:firstLine="357"/>
        <w:jc w:val="both"/>
        <w:rPr>
          <w:rFonts w:ascii="Times New Roman" w:eastAsia="WenQuanYi Micro Hei" w:hAnsi="Times New Roman" w:cs="Times New Roman"/>
          <w:lang w:val="en-US"/>
        </w:rPr>
      </w:pPr>
      <w:r w:rsidRPr="00C139EC">
        <w:rPr>
          <w:rFonts w:ascii="Times New Roman" w:eastAsia="WenQuanYi Micro Hei" w:hAnsi="Times New Roman" w:cs="Times New Roman"/>
          <w:lang w:val="en-US"/>
        </w:rPr>
        <w:t>9. Wei M. X. et al. Wear and friction characteristics of a selected stainless steel //</w:t>
      </w:r>
      <w:proofErr w:type="spellStart"/>
      <w:r w:rsidRPr="00C139EC">
        <w:rPr>
          <w:rFonts w:ascii="Times New Roman" w:eastAsia="WenQuanYi Micro Hei" w:hAnsi="Times New Roman" w:cs="Times New Roman"/>
          <w:lang w:val="en-US"/>
        </w:rPr>
        <w:t>Tribology</w:t>
      </w:r>
      <w:proofErr w:type="spellEnd"/>
      <w:r w:rsidRPr="00C139EC">
        <w:rPr>
          <w:rFonts w:ascii="Times New Roman" w:eastAsia="WenQuanYi Micro Hei" w:hAnsi="Times New Roman" w:cs="Times New Roman"/>
          <w:lang w:val="en-US"/>
        </w:rPr>
        <w:t xml:space="preserve"> Transactions. – 2011. </w:t>
      </w:r>
      <w:proofErr w:type="gramStart"/>
      <w:r w:rsidRPr="00C139EC">
        <w:rPr>
          <w:rFonts w:ascii="Times New Roman" w:eastAsia="WenQuanYi Micro Hei" w:hAnsi="Times New Roman" w:cs="Times New Roman"/>
          <w:lang w:val="en-US"/>
        </w:rPr>
        <w:t>– Т. 54.</w:t>
      </w:r>
      <w:proofErr w:type="gramEnd"/>
      <w:r w:rsidRPr="00C139EC">
        <w:rPr>
          <w:rFonts w:ascii="Times New Roman" w:eastAsia="WenQuanYi Micro Hei" w:hAnsi="Times New Roman" w:cs="Times New Roman"/>
          <w:lang w:val="en-US"/>
        </w:rPr>
        <w:t xml:space="preserve"> – №. 6. – С. 840-848.</w:t>
      </w:r>
    </w:p>
    <w:p w:rsidR="00F5393A" w:rsidRPr="00C139EC" w:rsidRDefault="00F5393A" w:rsidP="00114411">
      <w:pPr>
        <w:tabs>
          <w:tab w:val="left" w:pos="1003"/>
        </w:tabs>
        <w:spacing w:line="30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F5393A" w:rsidRPr="00114411" w:rsidRDefault="00F5393A" w:rsidP="00114411">
      <w:pPr>
        <w:tabs>
          <w:tab w:val="left" w:pos="600"/>
        </w:tabs>
        <w:spacing w:line="300" w:lineRule="auto"/>
        <w:ind w:firstLine="357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F5393A" w:rsidRPr="00114411" w:rsidRDefault="00F5393A" w:rsidP="00114411">
      <w:pPr>
        <w:shd w:val="clear" w:color="auto" w:fill="FFFFFF"/>
        <w:spacing w:line="30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sectPr w:rsidR="00F5393A" w:rsidRPr="00114411" w:rsidSect="00114411">
      <w:pgSz w:w="11906" w:h="16838"/>
      <w:pgMar w:top="1134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;Arial Unic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autoHyphenation/>
  <w:characterSpacingControl w:val="doNotCompress"/>
  <w:compat/>
  <w:rsids>
    <w:rsidRoot w:val="00F5393A"/>
    <w:rsid w:val="00114411"/>
    <w:rsid w:val="00C139EC"/>
    <w:rsid w:val="00F5393A"/>
    <w:rsid w:val="00FF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FF"/>
    <w:pPr>
      <w:suppressAutoHyphens/>
    </w:pPr>
    <w:rPr>
      <w:rFonts w:ascii="Times New Roman;serif" w:eastAsia="Times New Roman;serif" w:hAnsi="Times New Roman;serif" w:cs="Times New Roman;serif"/>
      <w:color w:val="00000A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52AFF"/>
  </w:style>
  <w:style w:type="character" w:customStyle="1" w:styleId="WW8Num1z1">
    <w:name w:val="WW8Num1z1"/>
    <w:qFormat/>
    <w:rsid w:val="00752AFF"/>
  </w:style>
  <w:style w:type="character" w:customStyle="1" w:styleId="WW8Num1z2">
    <w:name w:val="WW8Num1z2"/>
    <w:qFormat/>
    <w:rsid w:val="00752AFF"/>
  </w:style>
  <w:style w:type="character" w:customStyle="1" w:styleId="WW8Num1z3">
    <w:name w:val="WW8Num1z3"/>
    <w:qFormat/>
    <w:rsid w:val="00752AFF"/>
  </w:style>
  <w:style w:type="character" w:customStyle="1" w:styleId="WW8Num1z4">
    <w:name w:val="WW8Num1z4"/>
    <w:qFormat/>
    <w:rsid w:val="00752AFF"/>
  </w:style>
  <w:style w:type="character" w:customStyle="1" w:styleId="WW8Num1z5">
    <w:name w:val="WW8Num1z5"/>
    <w:qFormat/>
    <w:rsid w:val="00752AFF"/>
  </w:style>
  <w:style w:type="character" w:customStyle="1" w:styleId="WW8Num1z6">
    <w:name w:val="WW8Num1z6"/>
    <w:qFormat/>
    <w:rsid w:val="00752AFF"/>
  </w:style>
  <w:style w:type="character" w:customStyle="1" w:styleId="WW8Num1z7">
    <w:name w:val="WW8Num1z7"/>
    <w:qFormat/>
    <w:rsid w:val="00752AFF"/>
  </w:style>
  <w:style w:type="character" w:customStyle="1" w:styleId="WW8Num1z8">
    <w:name w:val="WW8Num1z8"/>
    <w:qFormat/>
    <w:rsid w:val="00752AFF"/>
  </w:style>
  <w:style w:type="character" w:customStyle="1" w:styleId="WW8Num2z0">
    <w:name w:val="WW8Num2z0"/>
    <w:qFormat/>
    <w:rsid w:val="00752AFF"/>
  </w:style>
  <w:style w:type="character" w:customStyle="1" w:styleId="WW8Num2z1">
    <w:name w:val="WW8Num2z1"/>
    <w:qFormat/>
    <w:rsid w:val="00752AFF"/>
  </w:style>
  <w:style w:type="character" w:customStyle="1" w:styleId="WW8Num2z2">
    <w:name w:val="WW8Num2z2"/>
    <w:qFormat/>
    <w:rsid w:val="00752AFF"/>
  </w:style>
  <w:style w:type="character" w:customStyle="1" w:styleId="WW8Num2z3">
    <w:name w:val="WW8Num2z3"/>
    <w:qFormat/>
    <w:rsid w:val="00752AFF"/>
  </w:style>
  <w:style w:type="character" w:customStyle="1" w:styleId="WW8Num2z4">
    <w:name w:val="WW8Num2z4"/>
    <w:qFormat/>
    <w:rsid w:val="00752AFF"/>
  </w:style>
  <w:style w:type="character" w:customStyle="1" w:styleId="WW8Num2z5">
    <w:name w:val="WW8Num2z5"/>
    <w:qFormat/>
    <w:rsid w:val="00752AFF"/>
  </w:style>
  <w:style w:type="character" w:customStyle="1" w:styleId="WW8Num2z6">
    <w:name w:val="WW8Num2z6"/>
    <w:qFormat/>
    <w:rsid w:val="00752AFF"/>
  </w:style>
  <w:style w:type="character" w:customStyle="1" w:styleId="WW8Num2z7">
    <w:name w:val="WW8Num2z7"/>
    <w:qFormat/>
    <w:rsid w:val="00752AFF"/>
  </w:style>
  <w:style w:type="character" w:customStyle="1" w:styleId="WW8Num2z8">
    <w:name w:val="WW8Num2z8"/>
    <w:qFormat/>
    <w:rsid w:val="00752AFF"/>
  </w:style>
  <w:style w:type="character" w:customStyle="1" w:styleId="1">
    <w:name w:val="Основной шрифт абзаца1"/>
    <w:qFormat/>
    <w:rsid w:val="00752AFF"/>
  </w:style>
  <w:style w:type="character" w:customStyle="1" w:styleId="a3">
    <w:name w:val="Основной текст Знак"/>
    <w:qFormat/>
    <w:rsid w:val="00752AFF"/>
    <w:rPr>
      <w:rFonts w:ascii="Times New Roman;serif" w:eastAsia="Times New Roman;serif" w:hAnsi="Times New Roman;serif" w:cs="Times New Roman;serif"/>
      <w:sz w:val="24"/>
      <w:szCs w:val="20"/>
    </w:rPr>
  </w:style>
  <w:style w:type="character" w:customStyle="1" w:styleId="a4">
    <w:name w:val="Индекс_Н"/>
    <w:qFormat/>
    <w:rsid w:val="00752AFF"/>
    <w:rPr>
      <w:vertAlign w:val="subscript"/>
      <w:lang w:val="ru-RU" w:eastAsia="ru-RU"/>
    </w:rPr>
  </w:style>
  <w:style w:type="character" w:customStyle="1" w:styleId="-">
    <w:name w:val="Интернет-ссылка"/>
    <w:basedOn w:val="a0"/>
    <w:rsid w:val="00DA28FC"/>
    <w:rPr>
      <w:color w:val="000080"/>
      <w:u w:val="single"/>
    </w:rPr>
  </w:style>
  <w:style w:type="character" w:customStyle="1" w:styleId="HTML">
    <w:name w:val="Стандартный HTML Знак"/>
    <w:basedOn w:val="1"/>
    <w:qFormat/>
    <w:rsid w:val="00752AFF"/>
    <w:rPr>
      <w:rFonts w:ascii="Courier New" w:eastAsia="Times New Roman;serif" w:hAnsi="Courier New" w:cs="Courier New"/>
    </w:rPr>
  </w:style>
  <w:style w:type="character" w:customStyle="1" w:styleId="y2iqfc">
    <w:name w:val="y2iqfc"/>
    <w:basedOn w:val="1"/>
    <w:qFormat/>
    <w:rsid w:val="00752AFF"/>
  </w:style>
  <w:style w:type="character" w:customStyle="1" w:styleId="c8edf2e5f0ede5f2-f1f1fbebeae0">
    <w:name w:val="Иc8нedтf2еe5рf0нedеe5тf2-сf1сf1ыfbлebкeaаe0"/>
    <w:qFormat/>
    <w:rsid w:val="00752AFF"/>
    <w:rPr>
      <w:color w:val="000080"/>
      <w:u w:val="single"/>
    </w:rPr>
  </w:style>
  <w:style w:type="character" w:customStyle="1" w:styleId="a5">
    <w:name w:val="Посещённая гиперссылка"/>
    <w:rsid w:val="00752AFF"/>
    <w:rPr>
      <w:color w:val="800000"/>
      <w:u w:val="single"/>
    </w:rPr>
  </w:style>
  <w:style w:type="character" w:customStyle="1" w:styleId="WW8Num3z0">
    <w:name w:val="WW8Num3z0"/>
    <w:qFormat/>
    <w:rsid w:val="00752AFF"/>
  </w:style>
  <w:style w:type="character" w:customStyle="1" w:styleId="WW8Num3z1">
    <w:name w:val="WW8Num3z1"/>
    <w:qFormat/>
    <w:rsid w:val="00752AFF"/>
  </w:style>
  <w:style w:type="character" w:customStyle="1" w:styleId="WW8Num3z2">
    <w:name w:val="WW8Num3z2"/>
    <w:qFormat/>
    <w:rsid w:val="00752AFF"/>
  </w:style>
  <w:style w:type="character" w:customStyle="1" w:styleId="WW8Num3z3">
    <w:name w:val="WW8Num3z3"/>
    <w:qFormat/>
    <w:rsid w:val="00752AFF"/>
  </w:style>
  <w:style w:type="character" w:customStyle="1" w:styleId="WW8Num3z4">
    <w:name w:val="WW8Num3z4"/>
    <w:qFormat/>
    <w:rsid w:val="00752AFF"/>
  </w:style>
  <w:style w:type="character" w:customStyle="1" w:styleId="WW8Num3z5">
    <w:name w:val="WW8Num3z5"/>
    <w:qFormat/>
    <w:rsid w:val="00752AFF"/>
  </w:style>
  <w:style w:type="character" w:customStyle="1" w:styleId="WW8Num3z6">
    <w:name w:val="WW8Num3z6"/>
    <w:qFormat/>
    <w:rsid w:val="00752AFF"/>
  </w:style>
  <w:style w:type="character" w:customStyle="1" w:styleId="WW8Num3z7">
    <w:name w:val="WW8Num3z7"/>
    <w:qFormat/>
    <w:rsid w:val="00752AFF"/>
  </w:style>
  <w:style w:type="character" w:customStyle="1" w:styleId="WW8Num3z8">
    <w:name w:val="WW8Num3z8"/>
    <w:qFormat/>
    <w:rsid w:val="00752AFF"/>
  </w:style>
  <w:style w:type="character" w:styleId="a6">
    <w:name w:val="Emphasis"/>
    <w:basedOn w:val="a0"/>
    <w:qFormat/>
    <w:rsid w:val="00752AFF"/>
    <w:rPr>
      <w:i/>
      <w:iCs/>
    </w:rPr>
  </w:style>
  <w:style w:type="character" w:customStyle="1" w:styleId="a7">
    <w:name w:val="Текст выноски Знак"/>
    <w:basedOn w:val="a0"/>
    <w:uiPriority w:val="99"/>
    <w:semiHidden/>
    <w:qFormat/>
    <w:rsid w:val="007B6964"/>
    <w:rPr>
      <w:rFonts w:ascii="Tahoma" w:eastAsia="Times New Roman;serif" w:hAnsi="Tahoma" w:cs="Tahoma"/>
      <w:sz w:val="16"/>
      <w:szCs w:val="16"/>
      <w:lang w:val="en-GB" w:bidi="ar-SA"/>
    </w:rPr>
  </w:style>
  <w:style w:type="paragraph" w:customStyle="1" w:styleId="a8">
    <w:name w:val="Заголовок"/>
    <w:basedOn w:val="a"/>
    <w:next w:val="a9"/>
    <w:qFormat/>
    <w:rsid w:val="00752AFF"/>
    <w:pPr>
      <w:keepNext/>
      <w:spacing w:before="240" w:after="120"/>
    </w:pPr>
    <w:rPr>
      <w:rFonts w:ascii="Liberation Sans;Arial" w:eastAsia="Noto Sans CJK SC Regular" w:hAnsi="Liberation Sans;Arial" w:cs="FreeSans;Times New Roman"/>
      <w:sz w:val="28"/>
      <w:szCs w:val="28"/>
    </w:rPr>
  </w:style>
  <w:style w:type="paragraph" w:styleId="a9">
    <w:name w:val="Body Text"/>
    <w:basedOn w:val="a"/>
    <w:rsid w:val="00752AFF"/>
    <w:pPr>
      <w:jc w:val="both"/>
    </w:pPr>
    <w:rPr>
      <w:sz w:val="24"/>
      <w:lang w:val="ru-RU"/>
    </w:rPr>
  </w:style>
  <w:style w:type="paragraph" w:styleId="aa">
    <w:name w:val="List"/>
    <w:basedOn w:val="a9"/>
    <w:rsid w:val="00752AFF"/>
    <w:rPr>
      <w:rFonts w:cs="FreeSans;Times New Roman"/>
    </w:rPr>
  </w:style>
  <w:style w:type="paragraph" w:customStyle="1" w:styleId="Caption">
    <w:name w:val="Caption"/>
    <w:basedOn w:val="a"/>
    <w:qFormat/>
    <w:rsid w:val="00EC1C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rsid w:val="00752AFF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qFormat/>
    <w:rsid w:val="00752AF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caption"/>
    <w:basedOn w:val="a"/>
    <w:qFormat/>
    <w:rsid w:val="00752AFF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52AFF"/>
    <w:pPr>
      <w:suppressLineNumbers/>
    </w:pPr>
    <w:rPr>
      <w:rFonts w:cs="FreeSans;Times New Roman"/>
    </w:rPr>
  </w:style>
  <w:style w:type="paragraph" w:styleId="HTML0">
    <w:name w:val="HTML Preformatted"/>
    <w:basedOn w:val="a"/>
    <w:qFormat/>
    <w:rsid w:val="00752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d">
    <w:name w:val="Содержимое таблицы"/>
    <w:basedOn w:val="a"/>
    <w:qFormat/>
    <w:rsid w:val="00752AFF"/>
    <w:pPr>
      <w:suppressLineNumbers/>
    </w:pPr>
  </w:style>
  <w:style w:type="paragraph" w:customStyle="1" w:styleId="ae">
    <w:name w:val="Заголовок таблицы"/>
    <w:basedOn w:val="ad"/>
    <w:qFormat/>
    <w:rsid w:val="00752AFF"/>
    <w:pPr>
      <w:jc w:val="center"/>
    </w:pPr>
    <w:rPr>
      <w:b/>
      <w:bCs/>
    </w:rPr>
  </w:style>
  <w:style w:type="paragraph" w:customStyle="1" w:styleId="cef1edeee2edeee9f2e5eaf1f2">
    <w:name w:val="Оceсf1нedоeeвe2нedоeeйe9 тf2еe5кeaсf1тf2"/>
    <w:basedOn w:val="a"/>
    <w:qFormat/>
    <w:rsid w:val="00752AFF"/>
    <w:pPr>
      <w:spacing w:after="140" w:line="288" w:lineRule="auto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msolistparagraph0">
    <w:name w:val="msolistparagraph"/>
    <w:basedOn w:val="a"/>
    <w:qFormat/>
    <w:rsid w:val="00752AFF"/>
    <w:pPr>
      <w:spacing w:after="200"/>
      <w:ind w:left="720"/>
      <w:contextualSpacing/>
    </w:pPr>
  </w:style>
  <w:style w:type="paragraph" w:customStyle="1" w:styleId="msonormalcxspmiddle">
    <w:name w:val="msonormalcxspmiddle"/>
    <w:basedOn w:val="a"/>
    <w:qFormat/>
    <w:rsid w:val="00752AFF"/>
    <w:pPr>
      <w:suppressAutoHyphens w:val="0"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7B6964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752AFF"/>
  </w:style>
  <w:style w:type="numbering" w:customStyle="1" w:styleId="WW8Num2">
    <w:name w:val="WW8Num2"/>
    <w:qFormat/>
    <w:rsid w:val="00752A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arijka8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1CB795-12A1-4694-BAA5-2A836DCE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1347</Words>
  <Characters>7679</Characters>
  <Application>Microsoft Office Word</Application>
  <DocSecurity>0</DocSecurity>
  <Lines>63</Lines>
  <Paragraphs>18</Paragraphs>
  <ScaleCrop>false</ScaleCrop>
  <Company>ИМ ХНЦ ДВО РАН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</dc:creator>
  <dc:description/>
  <cp:lastModifiedBy>dexp</cp:lastModifiedBy>
  <cp:revision>21</cp:revision>
  <cp:lastPrinted>2021-04-01T10:12:00Z</cp:lastPrinted>
  <dcterms:created xsi:type="dcterms:W3CDTF">2021-06-25T05:53:00Z</dcterms:created>
  <dcterms:modified xsi:type="dcterms:W3CDTF">2021-07-14T11:18:00Z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ИМ ХНЦ ДВО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